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 vom 3. Februar 2014</w:t>
      </w:r>
    </w:p>
    <w:p>
      <w:r>
        <w:t>VD Tribunal cantonal, 2014-02-03, FR</w:t>
      </w:r>
    </w:p>
    <w:p>
      <w:r>
        <w:rPr>
          <w:b/>
        </w:rPr>
        <w:t xml:space="preserve">Quelle: </w:t>
      </w:r>
      <w:r>
        <w:t>https://mcp.opencaselaw.ch/entscheid/vd_findinfo_HC___2014___69</w:t>
      </w:r>
    </w:p>
    <w:p>
      <w:r>
        <w:t>FR: VD_FINDINFO HC / 2014 / 69 du 3 février 2014</w:t>
      </w:r>
    </w:p>
    <w:p>
      <w:r>
        <w:t>IT: VD_FINDINFO HC / 2014 / 69 del 3 febbraio 2014</w:t>
      </w:r>
    </w:p>
    <w:p>
      <w:pPr>
        <w:pStyle w:val="Heading2"/>
      </w:pPr>
      <w:r>
        <w:t>Regeste</w:t>
      </w:r>
    </w:p>
    <w:p>
      <w:r>
        <w:t>DEMEURE DU DÉBITEUR, LOYER, RÉSILIATION, EXPULSION DE LOCATAIRE | 257d CO, 257 CPC (CH), 308 al. 1 let. a CPC (CH), 308 al. 2 CPC (CH), 318 al. 1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la valeur litigieuse est supérieure à 10'000 fr., de sorte que la voie de l’appel est ouverte.</w:t>
      </w:r>
    </w:p>
    <w:p>
      <w:r>
        <w:rPr>
          <w:b/>
        </w:rPr>
        <w:t>E. 1.2</w:t>
      </w:r>
    </w:p>
    <w:p>
      <w:r>
        <w:t>L'appel ordinaire, tel que prévu aux art. 308 ss CPC, a un effet réformatoire, l'effet cassatoire de l'appel n'étant que l'exception réservée à deux situations prévues à l'art. 318 al. 1 let. c CPC (Jeandin, CPC commenté, Bâle 2011, n. 4 ad art. 318 CPC, p. 1268; Reetz/Hilber, in Sutter-Somm/Hasenböhler/Leuenber-ger, Kommentar zur Schweizerischen Zivilprozessordnung, Zurich-Bâle-Genève 2010 [ci-après : ZPO-Komm], nn. 8, 24, 26 ad art. 318 CPC, pp. 2066, 2070-2071). En raison de l’effet réformatoire de l'appel, l'appelant ne doit pas – sous peine d'irrecevabilité – se contenter de conclure à l'annulation de la décision querellée mais doit, au contraire, prendre des conclusions au fond permettant à l'instance d'appel de statuer à nouveau en vertu de l'art. 318 al. 1 let. b CPC, dans l'hypothèse où elle aurait décidé d'annuler le jugement querellé (Jeandin, op. cit., n. 4 ad art. 311 CPC, p. 1251). En l’espèce, compte tenu des moyens développés en appel, on doit comprendre que les conclusions « en annulation de toute cette procédure » tendent à la réforme de l’ordonnance en ce sens que l’expulsion de l’appelante n’est pas ordonnée. Il doit en effet être entré en matière sur des conclusions formellement déficientes, lorsqu’on comprend à la lecture de la motivation ce que demande l’appelante, les conclusions devant être interprétées à la lumière de la motivation de l’appel (ATF 137 III 617 c. 6.2 ; TF 5A_855/2012 du 13 février 2013 c. 3.3.2 ; TF 5A_713/2012 du 15 février 2013 c. 4.1 ; TF 5A_621/2012 du 20 mars 2013, liquidation du régime matrimonial).</w:t>
      </w:r>
    </w:p>
    <w:p>
      <w:r>
        <w:rPr>
          <w:b/>
        </w:rPr>
        <w:t>E. 1.3</w:t>
      </w:r>
    </w:p>
    <w:p>
      <w:r>
        <w:t>L’appel s’exerce en principe dans un délai de trente jours (art. 311 al. 1 CPC). Le délai d’appel est toutefois de dix jours dans toutes les décisions rendues en procédure sommaire.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(art. 314 al. 1 CPC). Ce délai a été respecté et il convient d’entrer en matière sur l’appel, étant rappelé que le défaut de signature de l’appelante a été dûment réparé dans le délai imparti à cet effet.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Les pièces destinées à prouver des paiements dans le délai comminatoire sont recevables en appel, au titre non pas d’exception à l’irrecevabilité des nova rappelée ci-dessus mais de sanction découlant de la prohibition de l’abus de droit du fait que la bailleresse n’a pas révélé au juge de paix un tel paiement (CACI 13 mai 2011/83; CACI 1 er octobre 2013/513). L’appelante a produit à l’appui de son appel, outre les pièces de forme, un extrait du compte locataire d’D.________ concernant les écritures du 1 er mars 2012 au 8 août 2013, divers récépissés de paiement attestant des versements effectués entre les mois de janvier 2012 et août 2013, ainsi qu’une correspondance de [...] - X.________ du 30 août 2013. Dans la mesure où les pièces nouvellement produites tendent à prouver les paiements effectués par la partie appelante (récépissés postaux partiellement produits en première instance), elles sont recevables. S’agissant des autres pièces, elles sont irrecevables pour autant qu’elles ne figurent pas déjà au dossier de première instance. L’intimée a produit à l’appui de sa détermination spontanée du 6 janvier 2014 un extrait du relevé de compte locataire d’ [...] pour la période du 1 er janvier 2009 au 20 janvier 2012 (régie [...] SA ), un extrait du compte locataire d’D.________ pour la période du 1 er janvier 2012 au 7 novembre 2013 (régie [...]), un second extrait de compte pour la période du 1 er octobre 2013 au 11 décembre 2013, un compte « locataire » au 12 décembre 2013 ainsi qu’une liasse de mises en demeure et factures de frais de rappel émanant de la régie [...] pour les loyers d’octobre 2010 à décembre 2011. Dans la mesure où ces pièces portent sur des faits antérieurs à l’audience du 29 août 2013, elles sont irrecevables.</w:t>
      </w:r>
    </w:p>
    <w:p>
      <w:r>
        <w:rPr>
          <w:b/>
        </w:rPr>
        <w:t>E. 3</w:t>
      </w:r>
    </w:p>
    <w:p>
      <w:r>
        <w:t>mai 2013. L’intimée a quant à elle imputé les versements respectivement aux loyers des mois de décembre 2012, janvier 2013, février 2013, mars 2013 et avril 2013. Cela étant, il apparaît à la lecture des récépissés postaux valablement produits à l’appui de l’appel que le loyer de février 2012 a effectivement été payé à double. Or, le loyer payé en trop doit être imputé, selon l’art. 87 CO, sur la dette impayée échue la première, sans qu’une déclaration de compensation ne soit nécessaire. A tout le moins doit-on considérer que la question peut se discuter sérieusement en droit et que, par conséquent, le cas n’est pas clair, contrairement à ce qui a été retenu par le premier juge. Les arguments nouvellement avancés par l’intimée pour étayer sa défense, à supposer recevables, confirment ce résultat.</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Selon l’art. 257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w:t>
      </w:r>
    </w:p>
    <w:p>
      <w:r>
        <w:rPr>
          <w:b/>
        </w:rPr>
        <w:t>E. 3.2</w:t>
      </w:r>
    </w:p>
    <w:p>
      <w:r>
        <w:t>L’appelante soutient en substance être parfaitement à jour dans ses loyers et fait même état d’un solde créditeur en sa faveur. Elle indique que le décompte de la bailleresse ne tient pas compte du fait que le loyer de février 2012 a été acquitté à double et que ce décompte aurait donc dû comporter en report au 1 er mars 2012 un solde créditeur de 2'169 francs. L’intimée soutient que les conditions d’application de l’art. 257d CO sont réunies en l’espèce. Elle nie en particulier que l’appelante serait au bénéfice d’un loyer payé à double, dès lors que feu son époux n’aurait jamais effectué le paiement pour le loyer du mois d’octobre 2010. Il ressort des pièces versées au dossier que l’appelante a notamment procédé à des versements de 2'119 fr. les 10 janvier 2013, 11 février 2013, 10 avril 2013, 3 mai 2013 et 5 mai 2013, sans que l’on sache à quelle facture de loyer se rapportaient les versements en question. Selon l’appelante, les versements concerneraient les loyers échus du mois en cours, à l’exception du loyer du mois de mars 2013 qui aurait été versé le</w:t>
      </w:r>
    </w:p>
    <w:p>
      <w:r>
        <w:rPr>
          <w:b/>
        </w:rPr>
        <w:t>E. 4</w:t>
      </w:r>
    </w:p>
    <w:p>
      <w:r>
        <w:t>Sur le vu de ce qui précède, l’appel doit être admis et il doit être statué à nouveau en ce sens que la requête d’expulsion en cas clair est irrecevable (art. 257 al. 3 CPC), les frais judiciaires de première instance, par 280 fr., étant mis à la charge de la partie bailleresse. Il ne sera pas alloué de dépens de première instance, la partie locataire ayant procédé sans l’assistance d’un représentant professionnel. Les frais judiciaires de deuxième instance, arrêtés à 200 fr. (art. 62 al. 3 et 69 al. 1 TFJC [tarif des frais judiciaires civils du 28 septembre 2010 ; RSV 270.11.5), seront mis à la charge de l’intimée, qui succombe (art. 106 CPC). Celle-ci versera à l’appelante la somme de 200 fr. à titre de restitution de l’avance de frais de deuxième instance (art. 111 al. 2 CPC). Il n’y a pas lieu d’allouer des dépens de deuxième instance à l’appelante, dès lors qu’elle n’est pas représentée par un mandataire autorisé au sens de l’art. 68 al. 2 CPC. On observera par surabondance que X.________ a déclaré en instance d’appel qu’il n’était pas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