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677 vom 12. Dezember 2014</w:t>
      </w:r>
    </w:p>
    <w:p>
      <w:r>
        <w:t>VD Tribunal cantonal, 2014-12-12, FR</w:t>
      </w:r>
    </w:p>
    <w:p>
      <w:r>
        <w:rPr>
          <w:b/>
        </w:rPr>
        <w:t xml:space="preserve">Quelle: </w:t>
      </w:r>
      <w:r>
        <w:t>https://mcp.opencaselaw.ch/entscheid/vd_findinfo_HC___2014___677</w:t>
      </w:r>
    </w:p>
    <w:p>
      <w:r>
        <w:t>FR: VD_FINDINFO HC / 2014 / 677 du 12 décembre 2014</w:t>
      </w:r>
    </w:p>
    <w:p>
      <w:r>
        <w:t>IT: VD_FINDINFO HC / 2014 / 677 del 12 dicembre 2014</w:t>
      </w:r>
    </w:p>
    <w:p>
      <w:pPr>
        <w:pStyle w:val="Heading2"/>
      </w:pPr>
      <w:r>
        <w:t>Regeste</w:t>
      </w:r>
    </w:p>
    <w:p>
      <w:r>
        <w:t>EXPERTISE, FRAIS D'EXPERTISE | 242 CPC, 184 al. 3 CPC (CH), 319 let. b ch. 1 CPC (CH), 320 CPC (CH), 327 CPC (CH), 405 al. 1 CPC (CH)</w:t>
      </w:r>
    </w:p>
    <w:p>
      <w:pPr>
        <w:pStyle w:val="Heading2"/>
      </w:pPr>
      <w:r>
        <w:t>Erwägungen</w:t>
      </w:r>
    </w:p>
    <w:p>
      <w:r>
        <w:rPr>
          <w:b/>
        </w:rPr>
        <w:t>E. 1</w:t>
      </w:r>
    </w:p>
    <w:p>
      <w:r>
        <w:t>La décision attaquée a été communiquée aux parties le 4 juillet 2014, de sorte que les voies de droit sont régies par le CPC (Code de procédure civile suisse du 19 décembre 2008, RS 272), entré en vigueur le 1er janvier 2011 (art. 405 al. 1 CPC ; ATF 137 III 130, JT 2011 II 228 ; Tappy, in CPC commenté, Bâle 2011, nn. 5 ss ad art. 405 CPC). En revanche, dès lors que la demande a été déposée avant le 1 er janvier 2011, c'est l'ancien droit de procédure qui régit la procédure de première instance (art. 404 al. 1 CPC), notamment le CPC-VD (Code de procédure civile vaudoise du 14 décembre 1966, aujourd'hui abrogé). S’agissant d’un recours contre une décision fixant la rémunération d’un expert, les règles applicables à la fixation des frais d’expert relèvent de l’art. 242 CPC-VD et de l’aTFJC (ancien tarif des frais judiciaires en matière civile du 4 décembre 1984, RSV 270.11.5 ; CREC 16 janvier 2012/11 ; CREC 14 janvier 2013/7 et réf. ; CREC 8 octobre 2013/340), tarif applicable étant donné que les frais d’expertise constituent des débours (art. 2 al. 1 et 257 aTFJC ; Pdt TC 13 mars 2007/7 ; CREC 16 janvier 2012/11).</w:t>
      </w:r>
    </w:p>
    <w:p>
      <w:r>
        <w:rPr>
          <w:b/>
        </w:rPr>
        <w:t>E. 2</w:t>
      </w:r>
    </w:p>
    <w:p>
      <w:r>
        <w:t>L’art. 319 let. b ch. 1 CPC ouvre la voie du recours contre les décisions et ordonnances d’instruction de première instance pour lesquelles un recours est expressément prévu par la loi. Tel est le cas en l'espèce, l'art. 184 al. 3 CPC prévoyant que la décision relative à la rémunération de l'expert peut faire l'objet d'un recours, quelle que soit la valeur litigieuse (CACI 26 juin 2012/301 ; Müller, in Schweizerische Zivilprozessordnung – Kommentar [DIKE-Komm], n. 25 ad art. 184 CPC ; Schmid, in Schweizerische Zivilprozessordnung – Kurzkommentar, n. 6 ad art. 184 CPC ; Weibel, in Kommentar zur Schweizerischen Zivilprozessordnung, n. 10 ad art. 184 CPC ; contra Schweizer, CPC commenté, n. 31 ad art. 184 CPC). La décision relative à la rémunération d’un expert compte parmi les « autres décisions » visées par l'art. 319 let. b CPC (Jeandin, CPC commenté, Bâle 2011, n. 15 ad art. 319 CPC, p. 1272), lesquelles sont soumises au délai de recours applicable à la procédure au fond (Jeandin, op. cit., n. 10 ad art. 321 CPC, p. 1279 ; CREC 24 janvier 2013/23). En l’espèce, la procédure au fond est soumise à la procédure ordinaire en vertu de l’art. 257 ss CPC-VD, de sorte que le délai de recours serait de 30 jours. Le recours a été déposé le 10 juillet 2014, soit dans les dix jours dès réception de la décision attaquée. Motivé, contenant des conclusions au fond chiffrées et déposé en temps utile, auprès de la Chambre des recours civile (art. 73 LOJV [loi d'organisation judiciaire du 12 décembre 1979, RSV 173.01]), par une partie qui y a un intérêt digne de protection (art. 59 al. 2 let. a CPC), le recours est recevable.</w:t>
      </w:r>
    </w:p>
    <w:p>
      <w:r>
        <w:rPr>
          <w:b/>
        </w:rPr>
        <w:t>E. 3.1</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p. 1504) ; elle revoit librement les questions de droit soulevées par le recourant et peut substituer ses propres motifs à ceux de l'autorité précédente ou du recourant (HohI, Procédure civile, Tome lI, 2e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3.2</w:t>
      </w:r>
    </w:p>
    <w:p>
      <w:r>
        <w:t>Selon l’art. 327 al. 2 CPC, l’instance de recours peut statuer sur pièces. Cette faculté signifie que l’autorité de recours n’est pas tenue d’ouvrir les débats et peut, en fonction de son appréciation du dossier, statuer à la suite des échanges d’écritures constitués par le mémoire du recours, la réponse, la détermination de l’autorité précédente s’il y a lieu, voire d’éventuelles répliques (Jeandin, CPC commenté, n. 3 ad art. 327 CPC). Cette hypothèse d’une instruction purement écrite (Message CPC, 6986) convient tout particulièrement à certaines affaires soumises à la procédure sommaire et dans lesquelles le juge statue sur la base de pièces tout en appréciant les faits sous l’angle de la vraisemblance (Jeandin, op. cit., n. 3 ad art. 327 CPC). On peut toutefois envisager que l’instance de recours décide d’ouvrir des débats (Gasser/Rickli, Schweizerische Zivilprozessordnung, Kurzkommentar, 2014, n. 1 ad art. 327 CPC). La partie que le souhaite devra le solliciter, en particulier lorsque s’applique la maxime des débats (art. 55 al. 1 CPC ; Hofmann/Lüscher, Le Code de procédure civile, Berne 2009, p. 201). L’instance de recours pourra alors ordonner un second échange d’écritures, acheminer les parties à plaider sur un point précis voire même – ce sera plus rare – administrer des preuves (ne portant pas sur des faits nouveaux et ne constituant pas des preuves nouvelles), par exemple en ordonnant la production de pièces en original (art. 180 al. 1 CPC) ou la mise en évidence d’éléments d’un document volumineux produite en première instance (art. 180 al. 2 CPC).</w:t>
      </w:r>
    </w:p>
    <w:p>
      <w:r>
        <w:rPr>
          <w:b/>
        </w:rPr>
        <w:t>E. 4.1</w:t>
      </w:r>
    </w:p>
    <w:p>
      <w:r>
        <w:t>Le recourant fait valoir que le premier juge aurait constaté les faits de manière manifestement inexacte en ce qui concerne la qualité du travail de l’expert, fixant ainsi à tort une rémunération de l’expert à 9'720 francs. Il invoque une attitude partiale de l’expert qui aurait démontré une absence totale de déontologie et aurait « truqué » son rapport. L’expert ne se serait pas fait remettre certains documents bancaires et ne se serait pas rendu dans l’appartement de sa défunte mère aux fins d’évaluer le mobilier s’y trouvant. Le recourant conteste le contenu des déterminations de l’expert, ainsi que la validité des pièces sur lesquelles ce dernier s’est fondé. Le rapport serait à tort succinct, de sorte que l’expert aurait émis des affirmations erronées. Partant, il conteste la note d’honoraires de l’expert dans sa quotité, la rémunération de l’expert devant être réduite à zéro et requiert des débats contradictoires.</w:t>
      </w:r>
    </w:p>
    <w:p>
      <w:r>
        <w:rPr>
          <w:b/>
        </w:rPr>
        <w:t>E. 4.2.1</w:t>
      </w:r>
    </w:p>
    <w:p>
      <w:r>
        <w:t>Aux termes de l’art. 242 al. 1 CPC-VD, l’expert a droit au remboursement de ses frais et à des honoraires fixés par le juge qui a dirigé l’instruction. En vertu de l’art. 25 aTFJC, la juridiction saisie ne statue que dans les limites de l’abus du pouvoir d’appréciation, s’agissant de la fixation des honoraires de l’expert (Pdt, P. c. B., 26 octobre 1995 ; CREC 8 octobre 2013/340). Etant saisie d'un recours fondé sur l'art. 184 al. 3 CPC, la Chambre de céans examine avec retenue la fixation des honoraires de l'expert telle qu'effectuée par le premier juge (CREC 16 janvier 2012/11 c. 4d). Elle examine la décision du premier juge sous l'angle d'un éventuel abus du pouvoir d'appréciation, de sorte que l’appréciation des honoraires et débours de l’expert ne peut être réformée que lorsque la décision du premier juge apparaît arbitraire et manifestement mal fondée (CREC 8 octobre 2013/340 et réf. citées).</w:t>
      </w:r>
    </w:p>
    <w:p>
      <w:r>
        <w:rPr>
          <w:b/>
        </w:rPr>
        <w:t>E. 4.2.2</w:t>
      </w:r>
    </w:p>
    <w:p>
      <w:r>
        <w:t>Selon la jurisprudence cantonale, rendue sous l’empire du CPC-VD pour fixer le montant des honoraires de l’expert en vertu de l’art. 242 al. 1 CPC-VD et envisager une éventuelle suppression ou réduction des honoraires réclamés, le juge doit d’abord vérifier si ceux-ci ont été calculés correctement et correspondent à la mission confiée à l’expert et aux opérations qu’elle a impliquées (CREC 26 janvier 2012/11 précité c. 4d et références ; CREC 8 octobre 2013/340). La qualité du travail de l’expert n’entre en considération que si le rapport est inutilisable, totalement ou partiellement, par exemple si l’expert n’a pas répondu aux questions qui lui ont été posées ou s’il ne l’a fait que très incomplètement, ou s’il n’a pas motivé ses réponses, ou s’il a présenté son rapport de manière incompréhensible, ou encore s’il s’est borné à formuler de simples appréciations ou affirmations (ibidem). A moins d’une note d’honoraires manifestement exagérée, le juge la ratifie (Bettex, L’expertise judiciaire, thèse Lausanne 2006, p. 292 et références). De manière générale, la doctrine souligne que l’expert judiciaire n’est pas le mandataire des parties, ce qui a pour conséquence que le pouvoir de fixer la rémunération appartient au seul juge (Bettex, op. cit., p. 13). L’expert est donc lié au juge par un rapport de droit public, ce qui exclut l’application directe des règles sur le mandat quant au devoir de rendre des comptes en particulier à l’égard des parties. La position de l’expert judiciaire, qui a été décrite comme celle d’un auxiliaire du juge, sans que cette qualification ait de véritable signification juridique (Bettex, op. cit., p. 11), présente certaines analogies avec celle de l’avocat commis d’office - qui est aussi lié au juge par un rapport de droit public - pour l’indemnisation duquel le juge doit s’inspirer des critères de la modération des notes d’honoraires d’avocat et taxer principalement les opérations portées en compte au regard des prestations effectivement fournies (JT 1990 III 66 c. 2a). Dans le cadre de la modération, les opérations effectuées sont prises en compte dans la mesure où elles s’inscrivent raisonnablement dans l’accomplissement de la mission, à l’exclusion des démarches inutiles ou superflues, cet examen devant laisser à l’intéressé une marge d’appréciation suffisante pour déterminer l’importance du travail qu’il doit consacrer à l’affaire (ATF 109 la 107 c. 3b ; ATF 118 la 133 c. 2d).</w:t>
      </w:r>
    </w:p>
    <w:p>
      <w:r>
        <w:rPr>
          <w:b/>
        </w:rPr>
        <w:t>E. 4.3</w:t>
      </w:r>
    </w:p>
    <w:p>
      <w:r>
        <w:t>En l’espèce, le recourant conteste la qualité du travail de l’expert et la quotité de sa rémunération. Or, au vu de la jurisprudence cantonale développée sous l’empire de l’ancien CPC-VD pour fixer la rémunération de l’expert, la qualité du travail de l’expert n’entre en considération que si le rapport est inutilisable, totalement ou partiellement. Il ressort du rapport d’expertise contesté que l’expert s’est déterminé sur tous les allégués soumis à la preuve par expertise, conformément à l’ordonnance sur preuves du 13 février 2012. Pour cela, il a mis en œuvre l’expertise en présence des conseils des parties, a entendu chaque partie séparément et examiné les pièces nécessaires. C’est donc à juste à titre que le premier juge a considéré que l’expert avait accompli sa mission et agi d’une manière procéduralement satisfaisante. L’expert apparaît répondre aux questions qui lui ont été posées en les motivant. Il est en outre fréquent qu’un expert se prononce, in casu en ce qui concerne les allégués 18, 19 et 87, sur une question en se référant à des explications déjà apportées à l’appui d’un autre allégué. L’examen du rapport confirme l’appréciation du premier juge, en ce sens qu’il n’apparaît pas non plus contradictoire, lacunaire, ou entaché de défauts, ni ne peut être qualifié de peu clair ou de non convaincant. Le fait que certaines réponses soient succinctes ne signifie pas que l’expert n’a pas examiné sérieusement les questions posées. Par conséquent, le recourant ne démontre pas en quoi le rapport serait inutilisable ou incompréhensible. En ce qui concerne les opérations résultant du détail de la note d’honoraires du 28 avril 2014, elles apparaissent nécessaires et justifiées au vu de la mission de l’expert. Pour accomplir sa mission, l’expert a dû rencontrer les conseils des parties, puis chaque partie séparément et examiner les pièces nécessaires. Les 35 heures de travail qu’il a consacrées à ce dossier paraissent justifiées au vu de la complexité de la cause concernant une réclamation pécuniaire en matière successorale, dont la valeur litigieuse est élevée. Quant au tarif horaire de 350 francs, il apparaît correspondre aux tarifs de la branche pratiqués pour un expert-comptable diplômé expérimenté, comme l’est l’expert Gian Franco Locca. Quand bien même le montant total était de 14'850 fr., frais de secrétariat et TVA compris, l’expert a spontanément ramené ce montant à celui de la provision requise, soit à 9'720 fr., TVA comprise. Par conséquent, la rémunération de l’expert ne saurait être considérée comme manifestement exagérée. C’est donc sans arbitraire que le premier juge a considéré que la note d’honoraires litigieuse apparaissait conforme au travail fourni. Cela étant, la Cour de céans est en mesure de statuer sur la base des écritures et pièces figurant au dossier, de sorte qu’il n’est pas nécessaire de fixer des débats contradictoires.</w:t>
      </w:r>
    </w:p>
    <w:p>
      <w:r>
        <w:rPr>
          <w:b/>
        </w:rPr>
        <w:t>E. 5</w:t>
      </w:r>
    </w:p>
    <w:p>
      <w:r>
        <w:t>Au vu de ce qui précède, le recours est manifestement infondé et doit être rejeté dans la procédure de l’art. 322 al. 1 CPC. La décision entreprise doit ainsi être confirmée. Les frais judiciaires de deuxième instance, arrêtés à 400 fr. (art. 69 al. 1 TFJC), sont mis à la charge du recourant qui succombe (art. 106 al. 1 CPC). Il n’y a pas lieu à l’allocation de dépens de deuxième instance, aucune réponse n’ayant été requise. Par ces motifs, la Chambre des recours civile du Tribunal cantonal, statuant à huis clos, prononce : I. Le recours est rejeté. II. La décision est confirmée. III. Les frais judiciaires de deuxième instance, arrêtés à 400 fr. (quatre cents francs), sont mis à la charge du recourant A.D.________. IV. L’arrêt motivé est exécutoire. Le président :               La greffière : Du 15 décembre 2014 Le dispositif de l'arrêt qui précède est communiqué par écrit aux intéressés. La greffière : Du L'arrêt qui précède, dont la rédaction a été approuvée à huis clos, est notifié en expédition complète, par l'envoi de photocopies, à : ‑ M. A.D.________, ‑ Me Robert Assaël (pour l’intimé). La Chambre des recours civile considère que la valeur litigieuse est de 9'720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