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676 vom 10. Juni 2014</w:t>
      </w:r>
    </w:p>
    <w:p>
      <w:r>
        <w:t>VD Tribunal cantonal, 2014-06-10, FR</w:t>
      </w:r>
    </w:p>
    <w:p>
      <w:r>
        <w:rPr>
          <w:b/>
        </w:rPr>
        <w:t xml:space="preserve">Quelle: </w:t>
      </w:r>
      <w:r>
        <w:t>https://mcp.opencaselaw.ch/entscheid/vd_findinfo_HC___2014___676</w:t>
      </w:r>
    </w:p>
    <w:p>
      <w:r>
        <w:t>FR: VD_FINDINFO HC / 2014 / 676 du 10 juin 2014</w:t>
      </w:r>
    </w:p>
    <w:p>
      <w:r>
        <w:t>IT: VD_FINDINFO HC / 2014 / 676 del 10 giugno 2014</w:t>
      </w:r>
    </w:p>
    <w:p>
      <w:pPr>
        <w:pStyle w:val="Heading2"/>
      </w:pPr>
      <w:r>
        <w:t>Regeste</w:t>
      </w:r>
    </w:p>
    <w:p>
      <w:r>
        <w:t>MODIFICATION DES CIRCONSTANCES, NOUVEAU MOYEN DE FAIT, OBLIGATION D'ENTRETIEN | 163 CC, 179 al.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2010; RS 272) (Tappy, Les voies de droit du nouveau Code de procédure civile, JT 2010 III 121), dans les causes non patrimoniales ou dont la valeur litigieuse au dernier état des conclusions devant l’autorité inférieure est de 10'000 fr. au moins (art. 308 al. 2 CPC). Les ordonnances de mesures protectrices de l'union conjugale étant régies par la procédure sommaire, selon l'art. 271 CPC, le délai pour l'introduction de l’appel est de dix jours (art. 314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3</w:t>
      </w:r>
    </w:p>
    <w:p>
      <w:r>
        <w:t>L’appelant reproche au premier juge de s’être fondé sur un état de fait manifestement erroné pour conclure qu’aucun élément nouveau ne justifierait de modifier le montant de la contribution d’entretien mis à sa charge tel que fixé par l’ordonnance de mesures protectrices de l’union conjugale rendue le 1 er juin 2012. a) Dans un premier moyen, l’appelant relève que, contrairement à ce qu’a retenu le premier juge, l’intimée n’a fait aucune démarche auprès de l’Office de l’assurance-invalidité pour obtenir une rente. Il soutient qu’au vu de son incapacité médical persistante à travailler davantage, l’intimée serait en situation de revendiquer une demi-rente d’invalidité, fondée sur une perte de 50% de son revenu. Considérant qu’elle n’a fait aucune démarche dans ce sens, l’appelant estime qu’il convient de lui attribuer un revenu hypothétique mensuel de l’ordre de 1'000 fr., augmenté de deux rentes complémentaires pour enfants de l’ordre de 900 fr., soit au total un revenu mensuel de 1'900 francs. aa) Les mesures protectrices de l’union conjugale continuent à régir la relation entre les époux pendant la procédure de divorce (Tappy, Code de procédure civile commenté, n. 42 ad. art. 276 CPC). Les mesures provisionnelles dans le cadre d'une procédure en divorce suivent les règles applicables aux mesures protectrices de l'union conjugale (art. 276 CPC; art. 172 ss CC). Aux termes de l’article 179 alinéa 1 CC (Code civil suisse du 10 décembre 1907; RS 210), à la requête d’un époux, le juge ordonne les modifications commandées par les faits nouveaux. Une modification des mesures provisionnelles n’est envisageable qu’en présence de faits nouveaux entraînant un changement important, durable et pertinent des circonstances qui sont à la base du régime existant (Tappy, Quelques aspects de la procédure de mesures provisionnelles, spécialement en matière matrimoniale, JT 1994 III 34ss; Bräm, ZKomm., n. 7 et 10 ad art.179 CC). Il ne s'agit donc pas de corriger ou de reconsidérer le régime existant, mais de l'adapter à des circonstances nouvelles, en tant que les changements se rapportent à des faits pertinents ("relevant") pour la détermination de la contribution d'entretien (Bräm, op. cit., n. 11 ad art. 179 CC).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in FamPra.ch 2012 p. 1099 ; ATF 137 III 604) Une partie peut se voir imputer un revenu hypothétique supérieur au revenu qu’elle obtient effectivement à deux conditions : une augmentation correspondante de revenu doit être effectivement possible et cette augmentation peut être raisonnablement exigée d’elle (TF 5A_20/2013 du 25 octobre 2013 c. 3.1 ; ATF 128 III 4 c. 4c/bb ; ATF 126 III 10 c. 2b) ab) En l’espèce, on peut donner acte à l’appelant que l’état de fait est erroné lorsqu’il retient que l’intimée a entrepris des démarches auprès de l’Office de l’assurance-invalidité pour obtenir une rente. En effet, cela ne ressort pas des déclarations faites à l’audience par le conseil de cette dernière. Ce point n’est toutefois pas décisif, dès lors que, comme l’a relevé le premier juge, l’intimée a toujours travaillé à 60% que ce soit pour des raisons médicales ou en raison de la répartition des tâches lorsqu’elle formait un couple avec l’appelant. Au moment de la séparation, en 2011, l’appelant s’est contenté de ce travail à 60% et n’a jamais demandé à son épouse qu’elle augmente son taux de travail jusqu’à la présente requête de 2014, alors même qu’en 2013, la pension a été arrêtée conventionnellement sur la base d’un taux d’activité de 60% de l’épouse. On ne se trouve donc pas en présence d’un fait nouveaux justifiant la modification du montant de la contribution mise à la charge de l’appelant. Par surabondance, il convient de relever que même constatée médicalement, une incapacité de travail ne donne pas encore droit à une rente de l’assurance-invalidité. Pour que l’on puisse tenir compte d’une telle rente sous l’angle d’un revenu hypothétique, il faut que le droit à l’indemnité soit établi ou, à tout le moins hautement vraisemblable (TF 5A_757/2013 du 14 juillet 2014 c. 3.2 ; TF 5A_51/2007 du 24 octobre 2007 c. 4.3.2). Une incapacité de travail durable, telle qu’attestée par le médecin traitant, peut être prise en compte indépendamment d’éventuels droits envers l’assurance invalidité et le fait que l’intimée n’a pas adressé de demande de rente ne saurait être à lui seul déterminant et permettre de retenir un revenu hypothétique (CACI 23 décembre 2013/637 c. 3b et les réf.). Ce moyen, mal fondé, doit être rejeté. b) Dans un second moyen, l’appelant soutient que l’accession à la majorité de sa fille aînée, [...], constituait une circonstance nouvelle permettant de revoir la situation. Il appartiendrait, selon lui, à Sabrina de faire valoir ses prétentions alimentaires, la pension due au reste de la famille devant être diminuée en proportion. Il ajoute encore qu’aucun élément du dossier de ne permettrait de considérer qu’elle serait encore en formation. ba) Dans un arrêt du 23 août 2013 (ATF 139 III 401 c. 3.2.2), le Tribunal fédéral a confirmé que 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al. 1, 2 e phrase, CC). L'extension de cette capacité aux contributions d'entretien pour la période postérieure à la majorité de l'enfant a été introduite dans la loi lors de l'abaissement de l'âge de la majorité de vingt à dix-huit ans (cf. ancien art. 156 al. 2 CC et art. 14 CC, dans leur teneur selon la loi fédérale du 7 octobre 1994 entrée en vigueur le 1 er janvier 1996; RO 1995 1126). Le législateur entendait ainsi éviter que l'abaissement de l'âge de la majorité ne compromît la formation des jeunes gens, en contraignant l'enfant devenu adulte à ouvrir en son propre nom une action indépendante contre son parent (BO 1993 CE 662, BO 1994 CN 1144; ATF 129 III 55 c. 3.1.4; TF 5A_18/2011 du 1 er juin 2011 c. 5.1.1). Avant l'introduction de cette disposition dans la loi, la jurisprudence avait d'ailleurs déjà admis, pour des motifs d'opportunité et d'économie de procédure, que le juge du divorce pût fixer, sur demande du représentant légal, la contribution d'entretien pour la période postérieure à la majorité de l'enfant dans certaines circonstances exceptionnelles bien précises, notamment lorsque l'enfant se trouvait proche de sa majorité au moment du jugement de divorce et qu'il poursuivait déjà une formation professionnelle dont la durée pouvait être déterminée (ATF 112 II 199 c. 2). La modification législative précitée, reprise en substance par l'art. 133 al. 1, 2 e phrase, CC (TF 5A_104/2009 du 19 mars 2009 c. 2.2, in FamPra.ch 2009 p. 798 et JdT 2009 I 439), va plus loin en admettant de manière générale l'attribution d'une telle contribution au-delà de la majorité (Lüchinger/Geiser, in Basler Kommentar, Schweizerisches Zivilgesetzbuch, vol. I, 1996, n° 20 ad ancien art. 156 CC, qui appuient leurs conclusions sur les débats parlementaires; Breitschmid, in Basler Kommentar, Zivilgesetzbuch, vol. I, 4 e éd. 2010, n° 14 ad art. 133 CC; Piotet in Commentaire romand, Code civil, vol. I, BGE 139 III 401 S. 404/2010, n° 6 ad art. 277 CC): elle est ainsi envisageable lorsque l'enfant concerné est jeune, et ne dispose dès lors d'aucun plan de formation défini au moment du jugement (Lüchinger/Geiser, op. cit., n° 20 ad ancien art. 156 CC; cf. également Meier/Stettler, Droit de la filiation,</w:t>
      </w:r>
    </w:p>
    <w:p>
      <w:r>
        <w:rPr>
          <w:b/>
        </w:rPr>
        <w:t>E. 4</w:t>
      </w:r>
    </w:p>
    <w:p>
      <w:r>
        <w:t>En définitive, l’appel, manifestement infondé, doit être rejeté dans la procédure de l’art. 312 al. 1 CPC et l’ordonnance attaquée confirmée. Par lettre du 2 juin 2014, l’appelant a été dispensé de l’avance de frais, la décision définitive sur l’assistance judiciaire étant réservée. L’appel étant dépourvu de chances de succès, la requête d’assistance judiciaire contenue dans la procédure d’appel doit être rejetée. L’appelant, qui succombe, supportera les frais judiciaires de deuxième instance (art. 106 al. 1 CPC), qui doivent être arrêtés à 600 fr. (art. 65 al. 2 TFJC [tarif des frais judiciaires civils du 28 septembre 2010; RSV 270.11.5]). Il n’y a pas lieu d’allouer de dépens, dès lors que l’intimée n'a pas été invitée à se déterminer sur l'appel et n’a donc pas encouru de frais pour la procédure de deuxième instance (cf. art. 95 al. 3 CPC). Par ces motifs, le juge délégué de la Cour d’appel civile du Tribunal cantonal, statuant à huis clos, prononce : I. L’appel est rejeté. II. L’ordonnance est confirmée. III. La requête d’assistance judiciaire est rejetée. IV. Les frais judiciaires de deuxième instance, arrêtés à 600 fr. (six cents francs), sont mis à la charge de l’appelant A.M.________. V. L’arrêt motivé est exécutoire. Le juge délégué : La greffière : Du 11 juin 2014 Le dispositif de l'arrêt qui précède est communiqué par écrit aux intéressés. La greffière : Du L'arrêt qui précède, dont la rédaction a été approuvée à huis clos, est notifié en expédition complète, par l'envoi de photocopies à : ‑ Me Olivier Carré, (pour A.M.________), ‑ Me Christine Raptis, (pour B.M.________, née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