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675 vom 4. September 2014</w:t>
      </w:r>
    </w:p>
    <w:p>
      <w:r>
        <w:t>VD Tribunal cantonal, 2014-09-04, FR</w:t>
      </w:r>
    </w:p>
    <w:p>
      <w:r>
        <w:rPr>
          <w:b/>
        </w:rPr>
        <w:t xml:space="preserve">Quelle: </w:t>
      </w:r>
      <w:r>
        <w:t>https://mcp.opencaselaw.ch/entscheid/vd_findinfo_HC___2014___675</w:t>
      </w:r>
    </w:p>
    <w:p>
      <w:r>
        <w:t>FR: VD_FINDINFO HC / 2014 / 675 du 4 septembre 2014</w:t>
      </w:r>
    </w:p>
    <w:p>
      <w:r>
        <w:t>IT: VD_FINDINFO HC / 2014 / 675 del 4 settembre 2014</w:t>
      </w:r>
    </w:p>
    <w:p>
      <w:pPr>
        <w:pStyle w:val="Heading2"/>
      </w:pPr>
      <w:r>
        <w:t>Regeste</w:t>
      </w:r>
    </w:p>
    <w:p>
      <w:r>
        <w:t>MESURE DE CONTRAINTE{DROIT DES ÉTRANGERS}, DÉTENTION AUX FINS D'EXPULSION | 76 al. 1 let. b ch. 3 LEtr, 76 al. 1 let. b ch. 4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Le Juge de paix du district de Lausanne est l'autorité compétente en vertu des art. 17 et 20 LVLEtr. Saisi d'une réquisition du SPOP du 31 juillet 2014, le premier juge a procédé à l'audition du recourant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4 août 2014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2.2</w:t>
      </w:r>
    </w:p>
    <w:p>
      <w:r>
        <w:t>à 2.4). On ignore par ailleurs quelle sera l’attitude du recourant au moment de prendre le vol normal, s’il s’opposera ou non physiquement à monter dans l’avion. Il ressort encore des déterminations du SPOP qu’un nouveau vol à destination d’Alger a été fixé, les autorités algériennes ayant indiqué qu’un laissez-passer serait disponible (cf. ch. 12 en fait et ch. 7 en droit de la détermination du SPOP du 28 août 2014). d) Au vu de ce qui précède, le premier juge a correctement apprécié les conditions légales justifiant la mise en détention du recourant conformément à l’art. 76 al. 1 let. b ch. 3 et 4 LEtr. Cette mesure respecte le principe de la proportionnalité et on ne décèle aucune raison sérieuse qui laisserait penser que la mesure d’éloignement ne pourra pas intervenir avant l’échéance maximale de détention de dix-huit mois prévue par la loi.</w:t>
      </w:r>
    </w:p>
    <w:p>
      <w:r>
        <w:rPr>
          <w:b/>
        </w:rPr>
        <w:t>E. 3</w:t>
      </w:r>
    </w:p>
    <w:p>
      <w:r>
        <w:t>a) Le recourant soutient que les conditions de la mise en détention en vue de renvoi ne sont pas remplies et que l’expulsion s’avère impossible pour des raisons matérielles, à savoir l’absence de vol spécial et sa pathologie le conduisant à ingérer des lames de rasoir. De plus, la détention ne serait pas acceptable dans la mesure où elle ne répondrait pas aux exigences de l’art. 78 LEtr, l’examen sous l’angle de l’art. 76 LEtr étant selon lui insuffisant. b) L’art. 76 al. 1 let. b prévoit que, lorsqu’une décision de renvoi a été notifiée, l’autorité compétente peut, afin d’en assurer l’exécution, mettre en détention la personne concernée notamment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Comme le prévoit expressément l’art. 76 al. 1 let. b ch. 3 LEtr, il faut qu’il existe des éléments concrets en ce sens (TF 2C_675/2011 du 20 septembre 2011 c. 2.1) et la simple supposition qu’un individu pourrait se soustraire à son renvoi ne suffit pas à justifier sa détention administrative (ATF 129 I 139 c.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w:t>
      </w:r>
    </w:p>
    <w:p>
      <w:r>
        <w:rPr>
          <w:b/>
        </w:rPr>
        <w:t>E. 4</w:t>
      </w:r>
    </w:p>
    <w:p>
      <w:r>
        <w:t>Le recours doit donc être rejeté et l’ordonnance confirmée. L’arrêt peut être rendu sans frais (art. 50 LPA-VD [Loi sur la procédure administrative du 28 octobre 2008, RSV 173.36]).</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d’avocat d’office, Me Frank Tièche a produit une liste d’opérations faisant état de cinq heures quarante minutes, ainsi que de débours à hauteur de 8 fr., ce qui peut être admis. Il y a lieu par conséquent de fixer l’indemnité d’office de Me Frank Tièche à 1'110 fr. 25, soit 1'101 fr. 60 d’honoraires, TVA comprise, et 8 fr. 64 de débours, TVA comprise. Par ces motifs, la Chambre des recours civile du Tribunal cantonal, statuant à huis clos, prononce : I. Le recours est rejeté II. L’ordonnance est confirmée. III. L’arrêt est rendu sans frais judiciaires. IV. L’indemnité d’office de Me Frank Tièche est arrêtée à 1'110 fr. 25 (mille cent dix francs et vingt-cinq centimes), TVA et débours compris. V. L’arrêt motivé est exécutoire. Le président:               Le greffier : Du</w:t>
      </w:r>
    </w:p>
    <w:p>
      <w:r>
        <w:rPr>
          <w:b/>
        </w:rPr>
        <w:t>E. 8</w:t>
      </w:r>
    </w:p>
    <w:p>
      <w:r>
        <w:t>septembre 2014 Le dispositif de l'arrêt qui précède est communiqué par écrit aux intéressés. Le greffier : Du L'arrêt qui précède, dont la rédaction a été approuvée à huis clos, est notifié en expédition complète, par l'envoi de photocopies, à : ‑ M. Frank Tièche, avocat (pour A.________) ‑ Le Service de la population du Canton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