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672 vom 23. Juni 2014</w:t>
      </w:r>
    </w:p>
    <w:p>
      <w:r>
        <w:t>VD Tribunal cantonal, 2014-06-23, FR</w:t>
      </w:r>
    </w:p>
    <w:p>
      <w:r>
        <w:rPr>
          <w:b/>
        </w:rPr>
        <w:t xml:space="preserve">Quelle: </w:t>
      </w:r>
      <w:r>
        <w:t>https://mcp.opencaselaw.ch/entscheid/vd_findinfo_HC___2014___672</w:t>
      </w:r>
    </w:p>
    <w:p>
      <w:r>
        <w:t>FR: VD_FINDINFO HC / 2014 / 672 du 23 juin 2014</w:t>
      </w:r>
    </w:p>
    <w:p>
      <w:r>
        <w:t>IT: VD_FINDINFO HC / 2014 / 672 del 23 giugno 2014</w:t>
      </w:r>
    </w:p>
    <w:p>
      <w:pPr>
        <w:pStyle w:val="Heading2"/>
      </w:pPr>
      <w:r>
        <w:t>Regeste</w:t>
      </w:r>
    </w:p>
    <w:p>
      <w:r>
        <w:t>ASSISTANCE JUDICIAIRE, INDEMNITÉ{EN GÉNÉRAL} | 110 CPC (CH), 122 al. 1 let. a CPC (CH), 319 let. b ch. 1 CPC (CH)</w:t>
      </w:r>
    </w:p>
    <w:p>
      <w:pPr>
        <w:pStyle w:val="Heading2"/>
      </w:pPr>
      <w:r>
        <w:t>Erwägungen</w:t>
      </w:r>
    </w:p>
    <w:p>
      <w:r>
        <w:rPr>
          <w:b/>
        </w:rPr>
        <w:t>E. 1</w:t>
      </w:r>
    </w:p>
    <w:p>
      <w:r>
        <w:t>L’article 110 CPC ouvre la voie du recours séparé de l’art. 319 let. b ch. 1 CPC contre les décisions fixant l’indemnité du conseil d’office, cette indemnité étant considérée comme des frais au sens de l’art. 95 CPC (CREC 15 avril 2014/140; CREC 13 février 2013/52 ; Tappy, CPC commenté, 2011, n. 21 ad art. 122 CPC p. 503).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En l'espèce, interjeté en temps utile par une personne qui y a intérêt, le recours est ainsi formellement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3</w:t>
      </w:r>
    </w:p>
    <w:p>
      <w:r>
        <w:t>Le recourant conteste que son avocat d'office ait consacré 18 heures à son mandat. Il fait valoir qu'il n'a eu qu'un entretien d'une heure avec son conseil et que durant son mandat, celui-ci ne l'a pas "vraiment écouté".</w:t>
      </w:r>
    </w:p>
    <w:p>
      <w:r>
        <w:rPr>
          <w:b/>
        </w:rPr>
        <w:t>E. 3.1</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 5 à 7 ad art. 122 CPC, pp. 683-684).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w:t>
      </w:r>
    </w:p>
    <w:p>
      <w:r>
        <w:rPr>
          <w:b/>
        </w:rPr>
        <w:t>E. 3.2</w:t>
      </w:r>
    </w:p>
    <w:p>
      <w:r>
        <w:t>En l'espèce, Me D.________ a été désigné en qualité de conseil d'office du recourant dans la cause en divorce le concernant avec effet au 3 septembre 2013. A cette date, l'épouse avait déposé une requête de mesures provisionnelles et superprovisionnelles dans le cadre des mesures protectrices de l'union conjugale. Selon un courriel de Me D.________ du 3 septembre 2013, celui-ci a rencontré son client le même jour. Le 22 octobre 2013, il a ensuite déposé pour son client une demande unilatérale en divorce de sept pages accompagnée d'un bordereau de pièces, dans laquelle il exposait en bref que le recourant sollicitait une garde alternée de ses deux enfants, qu'il ne réalisait aucun bénéfice de l'activité indépendante qu'il venait de débuter de sorte qu'il n'offrait aucune contribution d'entretien et qu'il convenait en revanche de partager les avoirs de prévoyance des époux. Lors de l'audience de conciliation qui s'est tenue le 29 novembre 2013 devant la Présidente du Tribunal civil de l'arrondissement de Lausanne, l'avocate-stagiaire [...] a assisté le recourant. Celui-ci a rencontré une nouvelle fois son conseil le 12 février 2014. Enfin, le 10 avril 2014, Me D.________ a déposé pour son client une demande motivée de trois pages, ainsi qu'un bordereau de pièces. Dans sa liste d'opérations, Me D.________ a encore fait état de quatre entretiens téléphoniques et de 46 correspondances adressées au client, à l'avocat de la partie adverse, au Service de protection de la jeunesse, au Point rencontre et au tribunal. On doit considérer en l'espèce qu'un entretien d'une durée d'une heure était suffisant pour préparer la procédure de divorce du recourant, d'autant que Me D.________ invoque lui-même qu'il était le conseil du recourant depuis le 28 août 2012, dans le cadre des mesures protectrices de l'union conjugale. L'entretien du 12 février 2014 paraît également avoir duré une heure. Les deux heures 30 minutes d'avocate-stagiaire correspondent manifestement à la préparation de l'audience de conciliation et à l'assistance à cette audience, puisque celle-ci n'a duré que douze minutes. Enfin, la rédaction des actes de procédure, qui sont relativement simples, les correspondances échangées, ainsi que les contacts téléphoniques ne sauraient avoir nécessité plus de quatre heures. C'est ainsi un total de 8 heures 30 qui doit être retenu, dont 2 heures 30 d'avocate-stagiaire. Au tarif horaire de 180 fr. pour l'avocat et de 110 fr. pour l'avocate-stagiaire, hors TVA (art. 2 al. 1 let. a et b RAJ [Règlement sur l'assistance judiciaire en matière civile, RSV 211.02.3]), l'indemnité d'office allouée à Me D.________ doit être arrêtée à 1'355 fr. pour ses honoraires, plus 108 fr. 40 de TVA.</w:t>
      </w:r>
    </w:p>
    <w:p>
      <w:r>
        <w:rPr>
          <w:b/>
        </w:rPr>
        <w:t>E. 3.3</w:t>
      </w:r>
    </w:p>
    <w:p>
      <w:r>
        <w:t>Me D.________ requiert encore 200 fr. 60 à titre de débours et 80 fr. de forfait vacation pour l'avocate-stagiaire. Selon l’art. 3 al. 3 RAJ, en l’absence de liste de débours, le conseil juridique commis d’office reçoit une indemnité forfaitaire de 50 fr. pour une affaire transigée avant l’ouverture d’action et de 100 fr. dans les autres cas. En l'espèce, en l'absence de liste de débours, c'est un montant de 200 fr. hors TVA qui doit être alloué à Me D.________ pour ses débours et les frais de vacation à l'audience de conciliation de son avocate-stagiaire.</w:t>
      </w:r>
    </w:p>
    <w:p>
      <w:r>
        <w:rPr>
          <w:b/>
        </w:rPr>
        <w:t>E. 4</w:t>
      </w:r>
    </w:p>
    <w:p>
      <w:r>
        <w:t>En conclusion, le recours doit être admis et le prononcé réformé au chiffre I de son dispositif en ce sens que l’indemnité de D.________, conseil d'office du recourant, est fixée à 1'679 fr. 40, TVA et débours compris. Les frais judiciaires de deuxième instance, arrêtés à 200 fr. (art. 69 al. 1 et 70 al. 3 TFJC [tarif du 28 septembre 2010 des frais judiciaires civils ; RSV 270.11.5]), sont mis à la charge de Me D.________, qui succombe (art. 106 al. 1 CPC), et les versera au recourant à titre de restitution d'avance de frais (art. 111 al. 2 CPC). Par ces motifs, la Chambre des recours civile du Tribunal cantonal, statuant à huis clos, prononce : I. Le recours est admis. II. Le prononcé est réformé au chiffre I de son dispositif en ce sens que l’indemnité de l’avocat D.________, conseil d’office de G.________, est fixée à 1'679 fr. 40 (mille six cent septante-neuf francs et quarante centimes), TVA et débours compris. Le prononcé est confirmé pour le surplus. III. Les frais judiciaires de deuxième instance, arrêtés à 200 fr. (deux cents francs), sont mis à la charge de D.________. IV. D.________ doit verser à G.________ la somme de 200 fr. (deux cents francs) à titre de restitution d’avance de frais de deuxième instance. V. L’arrêt motivé est exécutoire. Le président :               La greffière : Du 24 juin 2014 Le dispositif de l'arrêt qui précède est communiqué par écrit aux intéressés. La greffière : Du L'arrêt qui précède, dont la rédaction a été approuvée à huis clos, est notifié en expédition complète, par l'envoi de photocopies, à : ‑ M. G.________, ‑ Me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