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668 vom 16. Juli 2014</w:t>
      </w:r>
    </w:p>
    <w:p>
      <w:r>
        <w:t>VD Tribunal cantonal, 2014-07-16, FR</w:t>
      </w:r>
    </w:p>
    <w:p>
      <w:r>
        <w:rPr>
          <w:b/>
        </w:rPr>
        <w:t xml:space="preserve">Quelle: </w:t>
      </w:r>
      <w:r>
        <w:t>https://mcp.opencaselaw.ch/entscheid/vd_findinfo_HC___2014___668</w:t>
      </w:r>
    </w:p>
    <w:p>
      <w:r>
        <w:t>FR: VD_FINDINFO HC / 2014 / 668 du 16 juillet 2014</w:t>
      </w:r>
    </w:p>
    <w:p>
      <w:r>
        <w:t>IT: VD_FINDINFO HC / 2014 / 668 del 16 luglio 2014</w:t>
      </w:r>
    </w:p>
    <w:p>
      <w:pPr>
        <w:pStyle w:val="Heading2"/>
      </w:pPr>
      <w:r>
        <w:t>Regeste</w:t>
      </w:r>
    </w:p>
    <w:p>
      <w:r>
        <w:t>ACTION EN LIBÉRATION DE DETTE, MAINLEVÉE DÉFINITIVE, MODIFICATION DES CIRCONSTANCES, NOUVEAU MOYEN DE FAIT | 83 al. 2 LP, 85a al. 1 LP, 85a al. 3 LP</w:t>
      </w:r>
    </w:p>
    <w:p>
      <w:pPr>
        <w:pStyle w:val="Heading2"/>
      </w:pPr>
      <w:r>
        <w:t>Erwägungen</w:t>
      </w:r>
    </w:p>
    <w:p>
      <w:r>
        <w:rPr>
          <w:b/>
        </w:rPr>
        <w:t>E. 1</w:t>
      </w:r>
    </w:p>
    <w:p>
      <w:r>
        <w:t>Le recours de l’art. 319 let. a CPC (Code de procédure civile du 19 décembre 2008; RS 272) est ouvert notamment contre les décisions finales de première instance qui ne peuvent pas faire l’objet d’un appel. Tel est le cas en l’espèce, s’agissant d’une décision finale rendue dans une cause patrimoniale dont la valeur litigieuse est inférieure à 10'000 fr. (art. 308 al. 2 CPC). Conformément à l’art. 321 al. 1 CPC, le recours, écrit et motivé, est introduit dans les trente jours à compter de la notification de la décision attaquée ou de la notification postérieure de la motivation. Interjeté en temps utile par une partie qui y a un intérêt et dûment motivé,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 b) La production de pièces nouvelles en deuxième instance est prohibée (art. 326 al. 1 CPC). En l’espèce, les pièces produites par le recourant figurent au dossier de première instance, de sorte qu’elles sont recevables.</w:t>
      </w:r>
    </w:p>
    <w:p>
      <w:r>
        <w:rPr>
          <w:b/>
        </w:rPr>
        <w:t>E. 3</w:t>
      </w:r>
    </w:p>
    <w:p>
      <w:r>
        <w:t>Le recourant évoque la procédure pénale qu’il a intentée le 17 décembre 2012 à l’encontre de l’intimé pour faux dans les titres. Il soutient que cet élément constitue un fait nouveau dont le premier juge aurait dû tenir compte pour admettre la recevabilité de son action en constatation de l’inexistante de la créance. a) A teneur de l’art. 85a LP, le débiteur poursuivi peut agir en tout temps au for de la poursuite, selon la procédure ordinaire ou simplifiée, pour faire constater que la dette n’existe pas ou plus ou qu’un sursis a été accordé (al. 1). S’il admet la demande, le tribunal ordonne l’annulation ou la suspension de la poursuite (al. 3). Cette action a une double nature. D’une part, à l’instar de l’action en libération de dette (art. 83 al. 2 LP),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JT 2010 I 244 ; ATF 125 III 149 c. 2c, JT 1999 II 67 ; Schmidt, in Commentaire romand, Poursuite et faillite, Bâle 2005, n. 2 ad art. 85a LP).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5A_473/2012 du 17 août 2012 ; TF 5A_712/2008 du 2 décembre 2008 c. 2.2 et les références citées ; ATF 125 III 149 précité; Gilliéron, Commentaire de la loi fédérale sur la poursuite pour dettes et la faillite, 1999, n. 16 ad art. 85a LP ; Stoffel/Chabloz, Voies d’exécution, 2 e éd., 2010, n. 175, p. 133). La jurisprudence a toutefois précisé que, contrairement à la lettre de l'art. 85a al. 1 LP, cette action n'est ouverte que si la poursuite est pendante, à savoir jusqu'à la distribution des deniers ou l'ouverture de la faillite. Il s'agit là d'une condition de recevabilité qui doit encore exister au moment du jugement, et dont l'absence fait obstacle à l'examen du fondement matériel de la demande (TF 5A_712/2008 précité c. 2.1 et les réf. citées ; ATF 127 III 41 c. 4c et d ; Juge délégué CACI 24 janvier 2013/52 c. 4b) bb) ; Gilliéron, op. cit., n. 33 ad art. 85 a LP). En l’espèce, une mainlevée définitive a été prononcée le 25 janvier 2011, confirmée par la Chambre de céans le 1 er septembre 2011, sur la base de laquelle la saisie a eu lieu le 4 octobre 2012. Le recourant, qui a été débouté dans l’action en libération de dette par une décision ayant autorité de chose jugée, n’a dès lors plus d’intérêt à paralyser une poursuite qui a abouti. Même si tel était le cas, l’action du recourant ne serait pas recevable pour les motifs qui suivent. b) L’action de l’art. 85a al. 1 LP n’est pas non plus ouverte si le demandeur a été débouté dans l’action en libération de dette parce que le juge a constaté le bien fondé de la créance mise en poursuite dans une décision ayant autorité de chose jugée, ni si la mainlevée définitive a été accordée sur la base d’une action en reconnaissance de dette (TF 5C.234/2000 du 22 février 2001 c. 2b ; JT 2009 III 25). Le poursuivi ne peut dans cette hypothèse remettre en cause l’existence ou l’exigibilité de la créance reconnue dans le jugement sur lequel le juge de la mainlevée définitive s’est fondé et ne peut invoquer que des moyens tirés de l’extinction ou de l’inexigibilité (par exemple la prescription) postérieurs à la décision de mainlevée, à savoir des novas proprement dits (Gilliéron, op. cit., n. 18 ad art. 85a LP, p. 1370 ; TF 5C.234/2000 du 22 février 2001 c. 2b ; JT 2009 III 25). La solution se justifie par le fait que, lorsque la mainlevée est accordée sur la base d’une action en reconnaissance de dette ou du rejet d’une action en libération de dette, la cause a fait l’objet d’un examen devant le juge ordinaire, qui jouit d’un plein pouvoir d’examen et dont le jugement définitif et exécutoire jouit d’une pleine autorité. Seul des faits nouveaux proprement dits peuvent alors faire obstacle à cette autorité de chose jugée (JT 2009 III 25 précité). En l’espèce, le recourant voit un tel fait nouveau dans son dépôt de plainte pénale du 17 décembre 2012 à l’encontre de l’intimé pour faux dans les titres. Cette plainte a cependant été déposée après le 14 mai 2012, date de l’ouverture de l’action en constatation de l’inexistence de la créance, de sorte qu’elle ne peut être prise en considération au moment de statuer sur la recevabilité de cette action. Surtout, en tant que procédé juridique dépourvu de portée sur la dette en cause, ce dépôt ne constitue pas un fait nouveau ayant un effet sur l’existence ou l’exigibilité de cette dette.</w:t>
      </w:r>
    </w:p>
    <w:p>
      <w:r>
        <w:rPr>
          <w:b/>
        </w:rPr>
        <w:t>E. 4</w:t>
      </w:r>
    </w:p>
    <w:p>
      <w:r>
        <w:t>En définitive, le recours, mal fondé, doit ainsi être rejeté, la décision attaquée étant confirmée. Les frais judiciaires de deuxième instance, arrêtés à 400 fr. (art. 69 al. 1 TFJC [tarif des frais judiciaires civils du 28 septembre 2010, RSV 270.11.5]), sont mis à la charge du recourant qui succombe (art. 106 al. 1 CPC). L’intimé n’ayant pas été invité à se déterminer, il n’y a pas lieu de lui allouer des dépens de deuxième instance. Par ces motifs, la Chambre des recours civile du Tribunal cantonal, statuant à huis clos, prononce : I. Le recours est rejeté. II. Le jugement est confirmé. III. Les frais judiciaires de deuxième instance, arrêtés à 400 fr. (quatre cents francs), sont mis à la charge du recourant U.________. IV. L’arrêt motivé est exécutoire. La vice-présidente : La greffière : Du 17 juillet 2014 Le dispositif de l'arrêt qui précède est communiqué par écrit aux intéressés. La greffière : Du L'arrêt qui précède, dont la rédaction a été approuvée à huis clos, est notifié en expédition complète, par l'envoi de photocopies, à : ‑ Me Aba Neeman, (pour U.________), ‑ Me Cédric Thaler, (pour P.________). La Chambre des recours civile considère que la valeur litigieuse est de 9'560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