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664 vom 2. September 2014</w:t>
      </w:r>
    </w:p>
    <w:p>
      <w:r>
        <w:t>VD Tribunal cantonal, 2014-09-02, FR</w:t>
      </w:r>
    </w:p>
    <w:p>
      <w:r>
        <w:rPr>
          <w:b/>
        </w:rPr>
        <w:t xml:space="preserve">Quelle: </w:t>
      </w:r>
      <w:r>
        <w:t>https://mcp.opencaselaw.ch/entscheid/vd_findinfo_HC___2014___664</w:t>
      </w:r>
    </w:p>
    <w:p>
      <w:r>
        <w:t>FR: VD_FINDINFO HC / 2014 / 664 du 2 septembre 2014</w:t>
      </w:r>
    </w:p>
    <w:p>
      <w:r>
        <w:t>IT: VD_FINDINFO HC / 2014 / 664 del 2 settembre 2014</w:t>
      </w:r>
    </w:p>
    <w:p>
      <w:pPr>
        <w:pStyle w:val="Heading2"/>
      </w:pPr>
      <w:r>
        <w:t>Regeste</w:t>
      </w:r>
    </w:p>
    <w:p>
      <w:r>
        <w:t>DÉTENTION AUX FINS D'EXPULSION, MESURE DE CONTRAINTE{DROIT DES ÉTRANGERS} | 80 al. 6 LEtr, Art. 10 Règl. 343/2003</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ordonnant la détention administrative ou l’une des autres mesures en relation avec cette détention telles que mentionnées à l’art. 20 LVLEtr (art. 80 al. 1 LEtr [loi fédérale du 16 décembre 2005 sur les étrangers ; RS 142.20]).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comme en l’espèce le fait que le recourant a refusé d’embarquer à bord du vol à destination de [...] organisé pour son renvoi le 26 août 2014 et le fait que, le lendemain, le SPOP a requis l’inscription du recourant pour un vol spécial. La Cour de céans a également procédé à une instruction complémentaire sur la validité du titre de séjour italien invoqué par le recourant. En revanche, il n’existe aucun motif d’ordonner la production d’une attestation médicale, le juge de paix étant déjà intervenu auprès de l’établissement de détention pour signaler les problèmes de santé dont le recourant avait fait état lors de son audition du 25 juillet 2014 et qui, au demeurant, ne sont pas incompatibles avec sa détention.</w:t>
      </w:r>
    </w:p>
    <w:p>
      <w:r>
        <w:rPr>
          <w:b/>
        </w:rPr>
        <w:t>E. 3</w:t>
      </w:r>
    </w:p>
    <w:p>
      <w:r>
        <w:t>Le Juge de paix du district de Lausanne est l’autorité compétente en vertu des art. 17 et 20 LVLEtr. Saisi d’une requête motivée et documentée du SPOP le vendredi 25 juillet 2014, ce magistrat a procédé à l’audition du recourant le jour même,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mardi 29 juillet 2014 au recourant, soit dans le délai légal de 96 heures prévu par l’art. 16 al. 1 LVLEtr.</w:t>
      </w:r>
    </w:p>
    <w:p>
      <w:r>
        <w:rPr>
          <w:b/>
        </w:rPr>
        <w:t>E. 4</w:t>
      </w:r>
    </w:p>
    <w:p>
      <w:r>
        <w:t>a) Le recourant soutient que les autorités suisses ne sont pas compétentes pour traiter sa demande d’asile, qu’il est entré dans l’espace Schengen par l’Italie et qu’il est au bénéfice d’un titre de séjour italien. Il requiert par conséquent d’être renvoyé dans ce pays et non au [...]. b) L’art. 10 du Règlement Dublin n o 343/2003 dispose que lorsqu’il est établi, sur la base de preuves ou d’indices tels qu’ils figurent dans les deux listes mentionnées à l’art. 18 par. 3, notamment des données visées au chapitre III du règlement (CE) n o 2725/2000, que le demandeur d’asile a franchi irrégulièrement, par voie terrestre, maritime ou aérienne, la frontière d’un Etat membre dans lequel il est entré en venant d’un Etat tiers, cet Etat membre est responsable de l’examen de la demande d’asile. Cette responsabilité prend fin douze mois après la date du franchissement irrégulier de la frontière (par. 1).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Si le demandeur d’asile a séjourné dans plusieurs Etat membres pendant des périodes d’au moins cinq mois, l’Etat membre du dernier séjour est responsable de l’examen de la demande (par. 2). c) En l’espèce, par décision du 21 avril 2010, l’ODM a refusé d’entrer en matière sur la demande d’asile du recourant du 27 janvier 2010 et a ordonné son renvoi en Italie. Le refoulement n’a toutefois pas pu être exécuté dans le délai de douze mois mentionné ci-dessus, de sorte que la procédure d’asile a été rouverte en Suisse. La responsabilité de la demande d’asile est donc passée aux autorités suisses et c’est en vain que le recourant invoque le titre de séjour italien qui lui a été délivré en décembre 2009. Les délais prévus dans le Règlement Dublin étant expirés pour la procédure italienne, c’est donc à destination du [...] que le recourant doit être refoulé.</w:t>
      </w:r>
    </w:p>
    <w:p>
      <w:r>
        <w:rPr>
          <w:b/>
        </w:rPr>
        <w:t>E. 5</w:t>
      </w:r>
    </w:p>
    <w:p>
      <w:r>
        <w:t>a) Le recourant fait ensuite valoir que son renvoi est impossible pour des raisons matérielles. Il invoque de graves risques personnels s’il devait être expulsé dans son pays d’origine. b) Aux termes de l’art. 80 al. 6 LEtr,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drbit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2C_35/2009 du 13 février 2009 c. 6.2 ; TF 2C_445/2007 du 30 octobre 2007 c. 4.2 ; TF 2A_47/2007 du 18 avril 2007 c. 2.3). c) En l’espèce, le recourant se borne à répéter les risques qu’il a allégués dans le cadre de la procédure d’asile et qui ont été écartés dans la décision rendue par l’ODM le 16 août 2012 (cf. supra, let. C, ch. 7). Il n’y a pas lieu d’y revenir et il faut constater qu’aucun motif ne s’oppose au renvoi de l’intéressé.</w:t>
      </w:r>
    </w:p>
    <w:p>
      <w:r>
        <w:rPr>
          <w:b/>
        </w:rPr>
        <w:t>E. 6</w:t>
      </w:r>
    </w:p>
    <w:p>
      <w:r>
        <w:t>En définitive, le recours doit être rejeté et l’ordonnance entreprise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d’Eggis a déclaré s’en remettre à justice pour le montant de l’indemnité en indiquant que son mandat avait en outre exigé deux entretiens téléphoniques de 45 et 5 minutes et des débours par 22 francs. Au tarif horaire de 180 fr. (par analogie art. 2 al. 1 let. a RAJ [règlement du 7 décembre 2010 sur l'assistance judiciaire en matière civile ; RSV 211.02.3]), l’indemnité d’honoraires doit être fixée à 972 fr. (pour cinq heures de travail), soit 900 fr. plus 72 fr. de TVA au taux de 8 %, et les débours à 23 fr. 75, soit 22 fr. plus 1 fr. 75 de TVA, soit au total 995 fr. 75. Par ces motifs, la Chambre des recours civile du Tribunal cantonal, statuant à huis clos, prononce : I. Le recours est rejeté. II. L’ordonnance est confirmée. III. L’arrêt est rendu sans frais. IV. L’indemnité d’office de Me Dominique d’Eggis, conseil du recourant, est arrêtée à 995 fr. 75 (neuf cent nonante-cinq francs et septante-cinq centimes), TVA et débours compris. V. L'arrêt motivé est exécutoire. Le président :               La greffière : Du 3 septembre 2014 Le dispositif de l'arrêt qui précède est communiqué par écrit aux intéressés. La greffière : Du L'arrêt qui précède, dont la rédaction a été approuvée à huis clos, est notifié en expédition complète, par l'envoi de photocopies, à : ‑ Me Dominique d’Eggis (pour E.________)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