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656 vom 26. August 2014</w:t>
      </w:r>
    </w:p>
    <w:p>
      <w:r>
        <w:t>VD Tribunal cantonal, 2014-08-26, FR</w:t>
      </w:r>
    </w:p>
    <w:p>
      <w:r>
        <w:rPr>
          <w:b/>
        </w:rPr>
        <w:t xml:space="preserve">Quelle: </w:t>
      </w:r>
      <w:r>
        <w:t>https://mcp.opencaselaw.ch/entscheid/vd_findinfo_HC___2014___656</w:t>
      </w:r>
    </w:p>
    <w:p>
      <w:r>
        <w:t>FR: VD_FINDINFO HC / 2014 / 656 du 26 août 2014</w:t>
      </w:r>
    </w:p>
    <w:p>
      <w:r>
        <w:t>IT: VD_FINDINFO HC / 2014 / 656 del 26 agosto 2014</w:t>
      </w:r>
    </w:p>
    <w:p>
      <w:pPr>
        <w:pStyle w:val="Heading2"/>
      </w:pPr>
      <w:r>
        <w:t>Regeste</w:t>
      </w:r>
    </w:p>
    <w:p>
      <w:r>
        <w:t>RELATIONS PERSONNELLES, PROVISOIRE, SURVEILLANCE{EN GÉNÉRAL}, VISITE, REJET DE LA DEMANDE | 273 al. 1 CC,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dans une cause non patrimoniale,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(JT 2011 III 43).</w:t>
      </w:r>
    </w:p>
    <w:p>
      <w:r>
        <w:rPr>
          <w:b/>
        </w:rPr>
        <w:t>E. 2.2</w:t>
      </w:r>
    </w:p>
    <w:p>
      <w:r>
        <w:t>En l'espèce, après avoir vécu avec ses parents à St-Prex et à Männedorf, B.S.________ a régulièrement été confiée à la garde de ses grands-parents paternels en France. En mars 2012, le couple parental s'est séparé et, en mai suivant, l'appelante a pris l'enfant avec elle pour se rendre en Suisse. Les autorités judiciaires suisses, saisies d'une requête de retour de l'intimé, ont ordonné le 24 juillet 2012 le retour de l'enfant en France. Il résulte ensuite de l'ordonnance de non-conciliation rendue le 23 octobre 2012 par la Juge aux affaires familiales du Tribunal de Grande Instance de Paris et de la convention de divorce signée par les parties le 4 octobre 2013 que les parties se sont accordées pour confier l'enfant B.S.________ à la garde du père. Contrairement aux allégations de l'appelante, il ressort bel et bien du dossier qu'à deux reprises, elle a déplacé l'enfant illicitement. En mai 2012, alors que les parents avaient décidé d'un commun accord de confier l'enfant aux grands-parents paternels en France, l'appelante a emmené B.S.________ en Suisse où elle avait trouvé un appartement et où elle a requis des mesures protectrices de l'union conjugale, sans en parler à l'intimé. Ce déplacement a justifié la saisine par le père des autorités compétentes et le Tribunal supérieur du Canton de Zürich a ordonné le retour de l'enfant en France. Le non-lieu prononcé par le Juge d'instruction du Tribunal de Grande Instance de Montargis dans le cadre de la plainte déposée par le père n'enlève rien au caractère illicite du déplacement constaté. Le 19 décembre 2013, l'appelante n'a en outre pas ramené l'enfant à son père selon ce qui était prévu, ce qui a poussé l'intéressé à saisir les autorités allemandes en vue du retour de l'enfant. S'agissant de ce dernier événement, l'appelante a invoqué sa crainte que le père parte pour Singapour. Il ressort du dossier que les deux parties ont des liens manifestement étroits avec l'Asie. Il est en effet constaté que tant le père que la mère ont régulièrement voyagé avec l'enfant en Asie. Dans la convention signée le 4 octobre 2013, soit deux mois avant les faits reprochés à l'appelante, les parties avaient même convenu que le père vivrait à Singapour et la mère à Hong-Kong. Au vu de ces éléments et, en particulier de la convention du 4 octobre 2014, le motif invoqué par l'appelante n'apparaît pas fondé. Au demeurant, il est évident, compte tenu des démarches effectuées par l'intimé en vue du retour de l'enfant, que celui-ci n'a pas donné son accord aux déplacements de B.S.________ en Suisse en mai 2012, puis en Allemagne en décembre 2013. Le risque d'enlèvement de l'enfant par l'appelante apparaît donc quant à lui bien concret. On peut certes donner acte à l'appelante que l'intimé voyage souvent et qu'il a déménagé à plusieurs reprises. Il apparaît toutefois qu'il a pu offrir à B.S.________ une certaine stabilité. Il résulte des pièces produites que l'intimé a un appartement à St-Prex, qu'il a pris des dispositions pour inscrire sa fille dans une école internationale à Morges et que celle-ci est régulièrement assurée auprès d'une assurance-maladie suisse. Il ressort en revanche du dossier que l'appelante a séjourné dans plusieurs pays, sans que l'on puisse déterminer clairement où celle-ci cherche à s'établir et à résider. L'intéressée est née en Chine où réside encore une partie de sa famille et y a entrepris en 2012 une formation universitaire, elle a une sœur en Allemagne, elle a acquis la nationalité française, travaillé en Suisse allemande et elle vient de signer un contrat de sous-location pour un appartement à Lausanne et un contrat de travail à Montreux. Ces nombreux changements ne permettent pas de considérer que le dernier déménagement à Lausanne sera durable et stable et qu'il empêchera l'appelante de changer à nouveau de pays avec sa fille. Par ailleurs, le conflit entre les parents est aigu et évidemment propre à perturber l'enfant. Ce conflit est attesté par les nombreux mails échangés, par les déplacements illicites de l'enfant et les procédures qui en ont découlé, par les plaintes pénales déposées de part et d'autre et par la non avancée de la procédure de divorce. Au regard des éléments précités, il se justifie d'instaurer, à titre provisionnel, un droit de visite médiatisé. Il s'agit pour l'heure de la seule possibilité d'assurer la protection et la stabilité de B.S.________. Cette solution sera évidemment revue dès que les résultats de l'expertise pédopsychiatrique et l'évaluation du SPJ seront connus, la situation de l'appelante stabilisée et les conflits apaisés.</w:t>
      </w:r>
    </w:p>
    <w:p>
      <w:r>
        <w:rPr>
          <w:b/>
        </w:rPr>
        <w:t>E. 3</w:t>
      </w:r>
    </w:p>
    <w:p>
      <w:r>
        <w:t>L'appelante requiert l'élargissement de son droit de visite sur sa fille B.S.________. Elle soutient que les relations personnelles telles que fixées par l'ordonnance contestée vont à l'encontre de l'intérêt de l'enfant, nuisent à la relation mère-fille et mettent en danger le bon développement de l'enfant. Elle fait valoir que c'est l'intimé qui déstabilise leur fille par ses voyages incessants et qui l'empêche d'exercer valablement son droit de visite et d'entretenir des relations stables et suivies avec l'enfant, mettant ainsi en péril la relation entre la mère et sa fille. Pour le surplus, l'appelante conteste avoir déplacé l'enfant à deux reprises de manière illicite et sans l'accord du père.</w:t>
      </w:r>
    </w:p>
    <w:p>
      <w:r>
        <w:rPr>
          <w:b/>
        </w:rPr>
        <w:t>E. 3.1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RS 210]).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Le droit aux relations personnelles est à la fois un droit et un devoir des parents (cf. art. 273 al. 2 CC): il est cependant également considéré comme  un droit de la personnalité de l'enfant dont il doit servir en premier lieu l'intérêt (TF 5A_220/2009 c. 6.1; ATF 131 III 209 c. 5; ATF 123 III 445 c.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Il faut en outre prendre en considération la situation et les intérêts de l'ayant droit: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Il y a danger pour le bien de l'enfant, au sens de cette disposition, si son développement physique, moral ou psychique est menacé par la présence, même limitée, du parent concerné (ATF 122 III 404 c. 3b; TF 5P.33/2001 du 5 juillet 2001 c. 3a). Conformément au principe de proportionnalité, il importe en outre que cette menace ne puisse être écartée par d'autres mesures appropriées (ATF 131 III 209 précité ; ATF 118 II 21 c. 3c, résumé in JT 1995 I 548 ; TF 5A_448/2008 du 2 octobre 2008 c. 4.1 ; TF 5P.131/2006 du 25 août 2006, publié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On peut admettre qu'un parent ne s'est pas soucié sérieusement de son enfant au sens de l'art. 274 al. 2 CC lorsqu'il ne prend aucune part à son bien-être, s'en remet en permanence à d'autres pour les soins dus à l'enfant et n'entreprend rien pour établir une relation vivante avec lui; peu importe de savoir si les efforts auraient été couronnés de succès et si le comportement du parent habilité à donner son consentement est coupable ou non (ATF 118 II 21 c. 3d).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2008 p. 172).</w:t>
      </w:r>
    </w:p>
    <w:p>
      <w:r>
        <w:rPr>
          <w:b/>
        </w:rPr>
        <w:t>E. 4</w:t>
      </w:r>
    </w:p>
    <w:p>
      <w:r>
        <w:t>L'appelante requiert que le passeport de B.S.________ soit déposé au greffe du tribunal d'arrondissement. Elle fait valoir que l'intimé l'a menacée de partir vivre définitivement à Singapour auprès de sa compagne. Cette demande doit toutefois être rejetée. D'une part, les éléments du dossier attestent d'un risque concret d'enlèvement de la part de la mère et non du père, qui a su offrir une certaine stabilité à l'enfant. D'autre part, il ressort de la convention du 4 octobre 2013 que le projet de vie de l'intimé à Singapour paraissait résulter d'un accord des parties, dont les obligations professionnelles respectives les conduisait en Asie. Depuis, il apparaît que l'appelante a quitté la Chine et que l'intimé a pris toutes les mesures pour scolariser B.S.________ à Morges, près de son domicile à St-Prex. Enfin, l'intimé a bel et bien besoin d'un document d'identité pour l'enfant dès lors que ses parents, qui l'aident à la garde de l'enfant, sont domiciliés en France.</w:t>
      </w:r>
    </w:p>
    <w:p>
      <w:r>
        <w:rPr>
          <w:b/>
        </w:rPr>
        <w:t>E. 5</w:t>
      </w:r>
    </w:p>
    <w:p>
      <w:r>
        <w:t>En définitive, l'appel doit être rejeté et l'ordonnance confirmée. Au vu des considérations qui précède, l'appel était d'emblée dépourvu de chances de succès, de sorte que la demande d'assistance judiciaire de l'appelante doit être rejetée (art. 117 let. b CPC). Les frais judiciaires de deuxième instance, arrêtés à 600 fr. (art. 65 al. 3 TFJC [tarif des frais judiciaires civils du 28 septembre 2010; RSV 270.11.5]), sont mis à la charge de l'appelante, qui succombe (art. 106 al. 1 CPC). Des dépens, arrêtés à 2'000 fr., sont en outre mis à sa charge, en faveur de l'intimé . Par ces motifs, la juge déléguée de la Cour d’appel civile du Tribunal cantonal, statuant à huis clos, prononce : I. L’appel est rejeté. II. L'ordonnance est confirmée. III. La requête d'assistance judiciaire de N.________ est rejetée. IV. Les frais judiciaires de deuxième instance, arrêtés à 600 fr. (six cents francs), sont mis à la charge de l'appelante N.________. V. L'appelante N.________ doit verser à l'intimée A.S.________ la somme de 2'000 fr. (deux mille francs) à titre de dépens de deuxième instance. VI. L'arrêt motivé est exécutoire. La juge déléguée : La greffière : Du 27 août 2014 Le dispositif de l'arrêt qui précède est communiqué par écrit aux intéressés. La greffière : Du L'arrêt qui précède, dont la rédaction a été approuvée à huis clos, est notifié en expédition complète, par l'envoi de photocopies à : ‑ Me Angelo Ruggiero (pour N.________), ‑ Me Alain Berger (pour A.S.________).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