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650 vom 27. Juni 2014</w:t>
      </w:r>
    </w:p>
    <w:p>
      <w:r>
        <w:t>VD Tribunal cantonal, 2014-06-27, FR</w:t>
      </w:r>
    </w:p>
    <w:p>
      <w:r>
        <w:rPr>
          <w:b/>
        </w:rPr>
        <w:t xml:space="preserve">Quelle: </w:t>
      </w:r>
      <w:r>
        <w:t>https://mcp.opencaselaw.ch/entscheid/vd_findinfo_HC___2014___650</w:t>
      </w:r>
    </w:p>
    <w:p>
      <w:r>
        <w:t>FR: VD_FINDINFO HC / 2014 / 650 du 27 juin 2014</w:t>
      </w:r>
    </w:p>
    <w:p>
      <w:r>
        <w:t>IT: VD_FINDINFO HC / 2014 / 650 del 27 giugno 2014</w:t>
      </w:r>
    </w:p>
    <w:p>
      <w:pPr>
        <w:pStyle w:val="Heading2"/>
      </w:pPr>
      <w:r>
        <w:t>Regeste</w:t>
      </w:r>
    </w:p>
    <w:p>
      <w:r>
        <w:t>FRAIS D'EXPERTISE, DROIT D'ÊTRE ENTENDU, CONSTATATION DES FAITS | 184 al. 3 CPC (CH), 319 let. b ch. 1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p. 1272), lesquelles sont soumises au délai de recours applicable à la procédure au fond (Jeandin, op. cit., n. 10 ad art. 321 CPC, p. 1279). La décision entreprise a été rendue dans le cadre d'une procédure de preuve à futur ordonnée par le premier juge, soumise aux dispositions sur les mesures provisionnelles (art. 158 al. 2 CPC). La procédure sommaire s'applique (art. 248 let. d CPC) et le délai de recours est donc de dix jours (art. 321 al. 2 CPC). Le recours, écrit et motivé, est introduit auprès de l'instance de recours, soit la Chambre des recours civile (art. 73 LOJV [loi d'organisation judiciaire du 12 décembre 1979, RSV 173.01]). Motivé et déposé en temps utile par une partie qui y a un intérêt digne de protection (art. 59 al. 2 let. a CPC), le recours est recevable.</w:t>
      </w:r>
    </w:p>
    <w:p>
      <w:r>
        <w:rPr>
          <w:b/>
        </w:rPr>
        <w:t>E. 1.2</w:t>
      </w:r>
    </w:p>
    <w:p>
      <w:r>
        <w:t>Le recourant ne peut se limiter à conclure à l’annulation de la décision attaquée ; il doit prendre des conclusions au fond sous peine d’irrecevabilité du recours, de façon à permettre à l’autorité supérieure de statuer à nouveau dans le cas où les conditions de l’art. 327 al.</w:t>
      </w:r>
    </w:p>
    <w:p>
      <w:r>
        <w:rPr>
          <w:b/>
        </w:rPr>
        <w:t>E. 3</w:t>
      </w:r>
    </w:p>
    <w:p>
      <w:r>
        <w:t>Les recourants invoquent la constatation manifestement inexacte des faits, relevant qu’un accord exprès ou tacite entre les requérants et l’expert J.________ n’est jamais intervenu, ainsi que la violation de leur droit d’être entendus, le premier juge n’ayant pas motivé sa décision. 3.1.1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précité, JT 2011 IV 3; ATF 126 I 97 c. 2b précité, JT 2004 IV 3). 3.1.2 L'art. 158 CPC confère au juge la faculté d'ordonner des preuves à futur; il ne traite en revanche pas de l'administration de ces dernières qui est déterminée selon le moyen de preuve choisi. En présence d'une preuve à futur par expertise, les art. 183 à 189 CPC trouvent application. Aux termes de l'art. 184 al. 3 CPC, l'expert a droit à une rémunération. Selon la doctrine, celle-ci peut être fixée selon des critères de droit cantonal (Dolge, Basler Kommentar, Schweizerische Zivilprozessordnung [BSK ZPO], Bâle 2010., n. 9 ad art. 184 CPC; Schmid, Kurzkommentar ZPO : Schweizerische Zivilprozessordnung [KUKO ZPO], Bâle 2010, n. 5 ad art. 184 CPC). A défaut, le montant de la rémunération de l'expert est fixé conventionnellement entre le juge et l'expert, de manière forfaitaire ou en fonction d'un salaire horaire, et, en l'absence de convention, selon l'usage (art. 394 al. 3 CO [Code des obligations du 30 mars 1911; RS 220], Dolge, op. cit., n. 10 ad art. 184 CPC ; Schmid, op. cit., n. 4 ad art. 184 CPC). Le travail de l'expert superflu ou sans lien avec la mission qui lui a été assignée ne doit pas être rémunéré (Dolge, op. cit. n. 10 ad art. 184 CPC, p. 855). Le droit vaudois prévoit à l'art. 91 al. 1 TFJC (tarif des frais judiciaires civils du 28 septembre 2010, RSV 270.11.5) que le juge arrête le montant des honoraires et frais d'experts, en appliquant, le cas échéant, les tarifs officiels. Un tel tarif n’existe pas en droit vaudois. Selon la jurisprudence cantonale, rendue sous l’empire du CPC-VD (Code de procédure civile vaudois du 14 décembre 1966),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26 janvier 2012/11 précité c. 4d et références).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(ibidem). Le CPC laissant un espace à des critères de droit cantonal pour la fixation de la rémunération de l’expert, ceux développés sous l’empire du CPC-VD peuvent être repris. Dans la pratique le juge ratifiera la note d’honoraires de l’expert, sauf si celle-ci est manifestement exagérée (Bettex, L’expertise judiciaire, thèse Lausanne 2006, p. 292 et références). De manière générale, la doctrine souligne que l’expert judiciaire n’est pas le mandataire des parties, ce qui a pour conséquence que le pouvoir de fixer la rémunération appartient au seul juge (Bettex, op. cit.,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(JT 1990 III 66 c.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109 la 107 c. 3b ; ATF 118 la 133 c. 2d).</w:t>
      </w:r>
    </w:p>
    <w:p>
      <w:r>
        <w:rPr>
          <w:b/>
        </w:rPr>
        <w:t>E. 3.2</w:t>
      </w:r>
    </w:p>
    <w:p>
      <w:r>
        <w:t>Les recourants reprochent au premier juge de n’avoir pas motivé son prononcé. Le prononcé entrepris se réfère au rapport d’expertise du 25 novembre 2013 (recte :</w:t>
      </w:r>
    </w:p>
    <w:p>
      <w:r>
        <w:rPr>
          <w:b/>
        </w:rPr>
        <w:t>E. 4</w:t>
      </w:r>
    </w:p>
    <w:p>
      <w:r>
        <w:t>Au vu de ce qui précède, le recours doit être rejeté dans la procédure de l’art. 322 al. 1 CPC et le prononcé confirmé. Les frais judiciaires de deuxième instance, arrêtés à 400 fr. (art. 69 al. 1 TFJC), sont mis à la charge des recourants (art. 106 al. 1 CPC), solidairement entre eux. Il n’y a pas lieu à l’allocation de dépens de deuxième instance, aucune réponse n’ayant été requise. Par ces motifs, la Chambre des recours civile du Tribunal cantonal, statuant à huis clos, en application de l'art. 322 al. 1 CPC, prononce : I. Le recours est rejeté. II. Le prononcé est confirmé. III. Les frais judiciaires de deuxième instance, arrêtés à 400 fr. (quatre cents francs), sont mis à la charge des recourants B.________ et Z.________, solidairement entre eux. IV. L’arrêt motivé est exécutoire. Le président :               Le greffier : Du 30 juin 2014 Le dispositif de l'arrêt qui précède est communiqué par écrit aux intéressés. Le greffier : Du L'arrêt qui précède, dont la rédaction a été approuvée à huis clos, est notifié en expédition complète, par l'envoi de photocopies, à : ‑ Me Jean-Samuel Leuba (pour Z.________ et B.________), ‑ M.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