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638 vom 2. Juli 2014</w:t>
      </w:r>
    </w:p>
    <w:p>
      <w:r>
        <w:t>VD Tribunal cantonal, 2014-07-02, FR</w:t>
      </w:r>
    </w:p>
    <w:p>
      <w:r>
        <w:rPr>
          <w:b/>
        </w:rPr>
        <w:t xml:space="preserve">Quelle: </w:t>
      </w:r>
      <w:r>
        <w:t>https://mcp.opencaselaw.ch/entscheid/vd_findinfo_HC___2014___638</w:t>
      </w:r>
    </w:p>
    <w:p>
      <w:r>
        <w:t>FR: VD_FINDINFO HC / 2014 / 638 du 2 juillet 2014</w:t>
      </w:r>
    </w:p>
    <w:p>
      <w:r>
        <w:t>IT: VD_FINDINFO HC / 2014 / 638 del 2 luglio 2014</w:t>
      </w:r>
    </w:p>
    <w:p>
      <w:pPr>
        <w:pStyle w:val="Heading2"/>
      </w:pPr>
      <w:r>
        <w:t>Regeste</w:t>
      </w:r>
    </w:p>
    <w:p>
      <w:r>
        <w:t>DÉFAUT{CONTUMACE}, DROIT DU TRAVAIL, OBLIGATION DE CHIFFRER LES CONCLUSIONS | 234 al. 1 CPC (CH)</w:t>
      </w:r>
    </w:p>
    <w:p>
      <w:pPr>
        <w:pStyle w:val="Heading2"/>
      </w:pPr>
      <w:r>
        <w:t>Erwägungen</w:t>
      </w:r>
    </w:p>
    <w:p>
      <w:r>
        <w:rPr>
          <w:b/>
        </w:rPr>
        <w:t>E. 1</w:t>
      </w:r>
    </w:p>
    <w:p>
      <w:r>
        <w:t>a) Le recours est recevable contre les décisions finales, incidentes et provisionnelles de première instance qui ne peuvent faire l’objet d’un appel (art. 319 let. a CPC). L’appel est recevable contre les ordonnances de mesures provisionnelles (art. 308 al. 1 let. b CPC) dans les causes non patrimoniales ou dont la valeur litigieuse est supérieure à 10’000 fr. (art. 308 al. 2 CPC). Le recours, écrit et motivé, est introduit auprès de l’instance de recours dans les 30 jours à compter de la notification de la décision motivée ou de la notification postérieure de la motivation (art. 321 al. 1 CPC). b) Le recours doit notamment contenir des conclusions, en annulation ou au fond, soit l’exposé de ce que la partie veut que le tribunal lui alloue dans sa décision (Tappy, CPC commenté, Bâle 2011, n. 11 ad art. 221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du 2 juin 2014/190; Jeandin, CPC commenté, Bâle 2011,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et les réf. citées; Jeandin, op. cit., n. 4 ad art. 321 CPC, et n. 5 ad art. 311 CPC par analogie). c) En l’espèce, dans sa correspondance du 18 juin 2014, la recourante G.________Sàrl s’est bornée à manifester son désaccord avec le jugement rendu, en alléguant que les prétentions de l’intimé B.________ étaient infondées et qu’elle ne lui devait rien. On peut se demander si ce courrier vaut recours, à défaut de conclusions expresses. La question peut toutefois demeurer indécise, puisqu’à supposer recevable, un tel recours devrait de toute manière être rejeté pour les motifs qui suivent.</w:t>
      </w:r>
    </w:p>
    <w:p>
      <w:r>
        <w:rPr>
          <w:b/>
        </w:rPr>
        <w:t>E. 2</w:t>
      </w:r>
    </w:p>
    <w:p>
      <w:r>
        <w:t>a) L'autorité de recours dispose d'un plein pouvoir d'examen s'agissant de la violation du droit (Spühler, in Basler Kommentar ZPO, 2 e éd. Bâle 2013, n. 12 ad art. 319 CPC). Elle revoit librement les questions de droit soulevées par le recourant et peut substituer ses propres motifs à ceux de l'autorité précédente ou du recourant (Hohl, Procédure civile, tome II, 2 e éd., 2010, n. 2508, p. 452). Le pouvoir de cognition en droit de l’instance supérieure saisie d’un recours est le même qu’en cas d’appel ordinaire (Jeandin, CPC commenté, Bâle 2011, n. 2 ad art. 320 CPC).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Dès lors qu'aucune disposition spéciale de la loi ne la prévoit, la production de pièces nouvelles en deuxième instance est prohibée (art. 326 CPC). b) Une partie est défaillante lorsqu'elle omet d'accomplir un acte de procédure dans le délai prescrit ou ne se présente pas lorsqu'elle est citée à comparaître (art. 147 al. 1 CPC). La procédure suit alors son cours sans qu'il soit tenu compte du défaut, à moins que la loi n'en dispose autrement (art. 147 al. 2 CPC), le tribunal devant toutefois rendre les parties attentives aux conséquences du défaut (art. 147 al. 3 CPC). En cas de défaut à l'audience des débats principaux, une décision sur le fond peut être rendue selon une procédure allégée, permettant de renoncer à tout ou partie des mesures d'instruction qui seraient mises en œuvre si l'affaire était instruite en contradictoire (Tappy, op. cit., n. 12 ad art. 147 CPC). Dans ce cas de figure, selon l'art. 234 al. 1 CPC, applicable par analogie à la procédure d'appel (art. 219 CPC; Tappy, op. cit., n. 9 ad art. 219 CPC), le tribunal statue en principe sur la base des actes déjà accomplis, des actes de la partie comparante et du dossier (Tappy, op. cit. n. 3 ad art. 234 CPC). c) Tel est le cas en l'espèce, la recourante ne s'étant pas présentée à l'audience d’instruction et de jugement du 17 octobre 2013, bien que régulièrement assignée à comparaître et informée des conséquences de ce défaut. Elle doit dès lors se voir opposer l’art. 234 al. 1 CPC, selon lequel le tribunal statue normalement sur la base des actes de la parties comparante et sur le dossier. Elle n’est ainsi pas fondée à invoquer divers éléments qui ne ressortent pas du dossier mais correspondent à de simples allégations, ainsi le fait que l’intimé aurait reçu l’entier de ses salaires et qu’il aurait été absent à plusieurs reprises. Par ailleurs, elle n’est pas recevable à produire des pièces en deuxième instance. Elle échoue donc à invoquer une constatation inexacte des faits au sens de l’art. 320 let. b CPC et n’invoque au surplus aucune violation du droit au sens de la lettre a de cette disposition.</w:t>
      </w:r>
    </w:p>
    <w:p>
      <w:r>
        <w:rPr>
          <w:b/>
        </w:rPr>
        <w:t>E. 3</w:t>
      </w:r>
    </w:p>
    <w:p>
      <w:r>
        <w:t>En définitive, le recours, mal fondé, doit être rejeté dans la mesure de sa recevabilité et le jugement entrepris confirmé. Le présent arrêt peut être rendu sans frais (art. 11 al. 1 TFJC [Tarif des frais judiciaires civils du 28 septembre 2010, RSV 270.11.5]). Par ces motifs, la Chambre des recours civile du Tribunal cantonal, statuant à huis clos, en application de l'art. 322 al. 1 CPC, prononce : I. Le recours est rejeté dans la mesure où il est recevable. II. Le jugement est confirmé. III. L’arrêt est rendu sans frais ni dépens. IV. L’arrêt motivé est exécutoire. Le président :               La greffière : Du</w:t>
      </w:r>
    </w:p>
    <w:p>
      <w:r>
        <w:rPr>
          <w:b/>
        </w:rPr>
        <w:t>E. 4</w:t>
      </w:r>
    </w:p>
    <w:p>
      <w:r>
        <w:t>juillet 2014 Le dispositif de l'arrêt qui précède est communiqué par écrit aux intéressés. La greffière : Du L'arrêt qui précède, dont la rédaction a été approuvée à huis clos, est notifié en expédition complète, par l'envoi de photocopies, à : ‑ Syndicat Unia, M. [...] (pour M. B.________), ‑ G.________Sàrl.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