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 vom 14. Januar 2014</w:t>
      </w:r>
    </w:p>
    <w:p>
      <w:r>
        <w:t>VD Tribunal cantonal, 2014-01-14, FR</w:t>
      </w:r>
    </w:p>
    <w:p>
      <w:r>
        <w:rPr>
          <w:b/>
        </w:rPr>
        <w:t xml:space="preserve">Quelle: </w:t>
      </w:r>
      <w:r>
        <w:t>https://mcp.opencaselaw.ch/entscheid/vd_findinfo_HC___2014___63</w:t>
      </w:r>
    </w:p>
    <w:p>
      <w:r>
        <w:t>FR: VD_FINDINFO HC / 2014 / 63 du 14 janvier 2014</w:t>
      </w:r>
    </w:p>
    <w:p>
      <w:r>
        <w:t>IT: VD_FINDINFO HC / 2014 / 63 del 14 gennaio 2014</w:t>
      </w:r>
    </w:p>
    <w:p>
      <w:pPr>
        <w:pStyle w:val="Heading2"/>
      </w:pPr>
      <w:r>
        <w:t>Regeste</w:t>
      </w:r>
    </w:p>
    <w:p>
      <w:r>
        <w:t>PROTECTION DE L'UNION CONJUGALE, LOGEMENT DE LA FAMILLE, MODIFICATION DES CIRCONSTANCES | 176 al. 1 ch. 2 CC, 179 al. 1 CC</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prononcés de mesures protectrices de l’union conjugale étant régis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 b) Il en est de même du mémoire complémentaire déposé dans le délai d’appel de dix jours. En revanche, l’écriture spontanée de l’appelant du 3 décembre 2013 est irrecevable car déposée hors délai.</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soutient que les difficultés que l’intimée a eues à trouver un nouvel appartement ont été prises en compte dans la convention du 21 août 2013 et qu’aucune modification des circonstances n’est intervenue depuis cette convention, de sorte que celle-ci ne peut être remise en cause. Il fait valoir qu’il n’avait pas à effectuer de recherches d’appartement dès lors que le logement conjugal lui était attribué dès le 16 octobre 2013 par cette convention.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 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La Pratique de la famille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références ; sur le tout TF 5A_153/2013 du 24 juillet 2013 c. 2.1 et TF 5A 245/2013 du 24 septembre 2013 c. 3.1). Une modification est exclue lorsque les circonstances nouvelles ont été provoquées par le comportement illicite ou constitutif d’abus de droit du requérant (TF 5P. 473/2006 du 19 décembre 2006, FamPra.ch 2007 p. 373 ; TF 5A_101/2013 du 25 juillet 2013 c. 3.1). Le moment déterminant pour apprécier si des circonstances nouvelles se sont produites est la date du dépôt de la demande de modification des mesures protectrices. En l’espèce, il ressort des conventions du 10 juillet et du 21 août 2013 que les parties les ont élaborées dans le but de pouvoir mettre en place, à plus ou moins brève échéance, un système de garde partagée sur l’enfant C.D.________. Ainsi, le chiffre III de la convention du 10 juillet 2013, maintenu expressément par le chiffre VII de la convention du 21 août 2013, prévoit l’engagement des deux parties à solliciter les services sociaux pour trouver un nouvel appartement en mesure d’accueillir les enfants, si possible dans le même regroupement scolaire. Il ne ressort ni de la convention du 21 août 2013 ni du dossier que la très grande difficulté à trouver un deuxième appartement, relevée par les intervenants sociaux postérieurement à la conclusion des deux conventions et suite aux démarches infructueuses de l’intimée, ait été connue au moment de la conclusion de la convention du 21 août 2013. Il apparaît bien plus que la solution retenue pour l’attribution de la jouissance du logement conjugal était fondée sur la disponibilité rapide d’un nouvel appartement, puisqu’elle prévoyait l’attribution du logement à l’intimée dans un premier temps, du fait qu’elle avait, d’entente entre les parties, la garde provisoire des enfants, puis à l’échéance d’un certain délai, à l’appelant, vraisemblablement pour tenir compte du fait qu’il y avait vécu depuis 1997. A cet égard, il ressort du chiffre III de la convention que les démarches devaient être communes, l’appelant étant donc également tenu d’effectuer des recherches. Au 3 octobre 2013, date du dépôt de la requête de mesures superprovisionnelles de l’intimée, les perspectives d’une garde alternée à terme paraissaient compromises vu l’absence de collaboration entre les parties et leurs désaccords persistants. En outre, la possibilité d’obtenir rapidement un deuxième appartement était désormais exclue par les intervenants sociaux. Ces éléments constituent, comme l’a relevé le premier juge, des faits nouveaux au sens de l’art. 179 al. 1 CC, dès lors que les faits qui avaient fondé le choix des mesures prévues conventionnellement n’avait pas été par la suite réalisées comme prévu, sans que l’on puisse attribuer au comportement de l’intimée la survenance des circonstances nouvelles. Les conditions d’une modification étaient en conséquence réalisées.</w:t>
      </w:r>
    </w:p>
    <w:p>
      <w:r>
        <w:rPr>
          <w:b/>
        </w:rPr>
        <w:t>E. 4</w:t>
      </w:r>
    </w:p>
    <w:p>
      <w:r>
        <w:t>En conclusion, l’appel doit être rejetée en application de l’art. 312 al. 1 CPC et l’ordonnance confirmée. Dès lors que l’interprétation donnée par le premier juge des conventions en cause était manifestement conforme à celles-ci et que la réalisation du projet de garde partagée dans le cadre de deux appartements, prévu par les conventions, était compromise, l’appel apparaissait dénué de chances de succès, de sorte que la requête d’assistance judiciaire de l’appelant doit être rejetée (art. 117 let. b CPC). Une avance des frais judiciaires de deuxième instance n’ayant pas été exigée et l’appelant étant au bénéfice du Revenu d’insertion, il convient exceptionnellement de renoncer à la perception de ces frais judiciaires (art. 112 al. 1 CPC). L’intimée a requis l’octroi de l’assistance judiciaire et son conseil a déposé des déterminations sur la requête d’effet suspensif. Vu l’issue de la procédure et sa situation financière, l’assistance judiciaire doit lui être octroyée. L’indemnité de conseil d’office pour les déterminations sur la requête d’effet suspensif est fixée à 200 fr., débours et TVA compris, l’Etat étant subrogé à concurrence de ce montant à compter du jour du paiement en application de l’art. 122 al. 2 CPC. Par ces motifs, la juge déléguée de la Cour d’appel civile du Tribunal cantonal, statuant à huis clos, en application de l'art. 312 al. 1 CPC, prononce : I. L’appel est rejeté. II. L’ordonnance est confirmée. III. La requête d’assistance judiciaire de l’appelant A.D.________ est rejetée. IV. La requête d’assistance judiciaire de l’intimée B.D.________, est admise, Me Marie-Pomme Moinat étant désignée comme son conseil d’office. V. L’indemnité d’office de Me Marie-Pomme Moinat, conseil de l’intimée, est arrêtée à 200 fr. (deux cents francs), TVA et débours compris. VI. L’arrêt motivé, rendu sans frais, est exécutoire. La juge déléguée : Le greffier : Du 15 janvier 2014 Le dispositif de l'arrêt qui précède est communiqué par écrit aux intéressés. Le greffier : Du L'arrêt qui précède, dont la rédaction a été approuvée à huis clos, est notifié en expédition complète, par l'envoi de photocopies, à : ‑ Me Gisèle de Benoît-Regamey (pour A.D.________), ‑ Me Marie-Pomme Moinat (pour B.D.________).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