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622 vom 13. August 2014</w:t>
      </w:r>
    </w:p>
    <w:p>
      <w:r>
        <w:t>VD Tribunal cantonal, 2014-08-13, FR</w:t>
      </w:r>
    </w:p>
    <w:p>
      <w:r>
        <w:rPr>
          <w:b/>
        </w:rPr>
        <w:t xml:space="preserve">Quelle: </w:t>
      </w:r>
      <w:r>
        <w:t>https://mcp.opencaselaw.ch/entscheid/vd_findinfo_HC___2014___622</w:t>
      </w:r>
    </w:p>
    <w:p>
      <w:r>
        <w:t>FR: VD_FINDINFO HC / 2014 / 622 du 13 août 2014</w:t>
      </w:r>
    </w:p>
    <w:p>
      <w:r>
        <w:t>IT: VD_FINDINFO HC / 2014 / 622 del 13 agosto 2014</w:t>
      </w:r>
    </w:p>
    <w:p>
      <w:pPr>
        <w:pStyle w:val="Heading2"/>
      </w:pPr>
      <w:r>
        <w:t>Regeste</w:t>
      </w:r>
    </w:p>
    <w:p>
      <w:r>
        <w:t>DÉTENTION AUX FINS D'EXPULSION, MESURE DE CONTRAINTE{DROIT DES ÉTRANGERS} | 76 al. 1 let. b ch. 3 LEtr, 76 al. 1 let. b ch. 4 LEtr, 78 al. 1 LEtr</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ordonnant la détention administrative ou l’une des autres mesures en relation avec cette détention telles que mentionnées à l’art. 20 LVLEtr (art. 80 al. 1 LEtr [loi fédérale du 16 décembre 2005 sur les étrangers ; RS 142.20]).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comme en l’espèce le fait que le recourant a refusé d’embarquer à bord du vol spécial organisé pour son renvoi le 5 août 2014. Il ne sera en revanche pas donné suite aux réquisitions d’instruction formulées par le recourant et tendant au complément du dossier pour savoir quand et combien de temps il aurait séjourné en Italie. Ces mesures d’instruction ne sont en effet pas nécessaires au traitement du dossier.</w:t>
      </w:r>
    </w:p>
    <w:p>
      <w:r>
        <w:rPr>
          <w:b/>
        </w:rPr>
        <w:t>E. 3</w:t>
      </w:r>
    </w:p>
    <w:p>
      <w:r>
        <w:t>Le Juge de paix du district de Lausanne est l’autorité compétente en vertu des art. 17 et 20 LVLEtr. Saisi d’une requête motivée et documentée du SPOP le vendredi 11 juillet 2014, ce magistrat a procédé à l’audition du recourant le lundi suivant,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16 juillet 2014 au recourant, soit dans le délai légal de 96 heures prévu par l’art. 16 al. 1 LVLEtr.</w:t>
      </w:r>
    </w:p>
    <w:p>
      <w:r>
        <w:rPr>
          <w:b/>
        </w:rPr>
        <w:t>E. 4</w:t>
      </w:r>
    </w:p>
    <w:p>
      <w:r>
        <w:t>a) Le recourant soutient qu’il n’a jamais refusé de quitter la Suisse, demandant uniquement un délai pour organiser son départ. Sa détention ne reposerait dès lors sur aucune base légale, l’art. 76 LEtr n’en constituant pas une. Il y aurait ainsi une violation de l’art. 5 CEDH. b) Aux termes de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11 369 c. 3b/aa ; ATF 122 II 149, rés. in JT 1998 I 95). c) En l’espèce, un délai de départ au 4 janvier 2012 a été imparti au recourant pour quitter la Suisse et il a été averti qu’à défaut, il pourrait être placé en détention. Par ailleurs, il a commis des infractions. La mise en détention en vue de renvoi du recourant est donc fondée sur l’art. 76 al. 1 let. b ch. 3 et 4 LEtr, dans la mesure où l’intéressé a démontré, par ses déclarations et par son comportement, qu’il n’avait aucune intention de collaborer à son départ. Son récent refus de prendre le vol prévu le 5 août 2014 le confirme encore si nécessaire. C’est donc en vain que le recourant fait valoir qu’il n’y aurait aucune base légale à sa détention. Au demeurant, sa situation n’est pas comparable à celle décrite dans l’arrêt Jusic c. Suisse du 2 décembre 2010, requête n o 4691/06, de la Cour européenne des droits de l’homme, où le requérant, qui avait quatre enfants et une épouse souffrante, avait eu un comportement irréprochable en dehors du fait qu’il avait à plusieurs reprises exprimé son refus de quitter le territoire suisse.</w:t>
      </w:r>
    </w:p>
    <w:p>
      <w:r>
        <w:rPr>
          <w:b/>
        </w:rPr>
        <w:t>E. 5</w:t>
      </w:r>
    </w:p>
    <w:p>
      <w:r>
        <w:t>a) Le recourant fait valoir encore à titre subsidiaire une violation de l’art. 10 du Règlement Dublin n o 343/2003, car, venant d’Italie, il est possible que l’Italie soit responsable de sa demande d’asile. Il devrait donc être expulsé à destination de ce pays. b) L’art. 10 du règlement précité dispose que lorsqu’il est établi, sur la base de preuves ou d’indices tels qu’ils figurent dans les deux listes mentionnées à l’art. 18 par. 3, notamment des données visées au chapitre III du règlement (CE) n o 2725/2000, que le demandeur d’asile a franchi irrégulièrement, par voie terrestre, maritime ou aérienne, la frontière d’un Etat membre dans lequel il est entré en venant d’un Etat tiers, cet Etat membre est responsable de l’examen de la demande d’asile. Cette responsabilité prend fin douze mois après la date du franchissement irrégulier de la frontière (par. 1). Lorsqu’un Etat membre ne peut, ou ne peut plus, être tenu pour responsable conformément au par. 1 et qu’il est établi, sur la base de preuves ou d’indices tels qu’ils figurent dans les deux listes mentionnées à l’art. 18 par. 3, que le demandeur d’asile qui est entré irrégulièrement sur les territoires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Si le demandeur d’asile a séjourné dans plusieurs Etat membres pendant des périodes d’au moins cinq mois, l’Etat membre du dernier séjour est responsable de l’examen de la demande (par. 2). c) En l’espèce, la demande d’asile du recourant a été rejetée définitivement par le Tribunal administratif fédéral le 15 décembre 2011, de sorte que l’éventuel séjour antérieur en Italie du recourant ne lui permet plus d’invoquer la compétence de cette autorité étrangère. De toute manière, le recourant a séjourné en Suisse durablement depuis lors. Il n’y a dès lors aucune violation de la disposition invoquée.</w:t>
      </w:r>
    </w:p>
    <w:p>
      <w:r>
        <w:rPr>
          <w:b/>
        </w:rPr>
        <w:t>E. 6</w:t>
      </w:r>
    </w:p>
    <w:p>
      <w:r>
        <w:t>Enfin, il apparaît que la mesure de contrainte respecte le principe de la proportionnalité et que les démarches entreprises pour exécuter le renvoi se poursuivent sans discontinuer.</w:t>
      </w:r>
    </w:p>
    <w:p>
      <w:r>
        <w:rPr>
          <w:b/>
        </w:rPr>
        <w:t>E. 7</w:t>
      </w:r>
    </w:p>
    <w:p>
      <w:r>
        <w:t>En définitive, le recours doit être rejeté et l’ordonnance attaquée confirmée. L’arrêt peut être rendu sans frais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Thierry de Mestral a produit sa liste d’opérations le 8 août 2014. Les 4 h 30 de travail annoncées peuvent être admises. Il n’y a pas lieu de prendre en compte les frais de vacation par 120 fr. annoncés dans les débours, dès lors que ces frais ont déjà été comptabilisés dans les heures de travail effectuées, de sorte qu’il sera retenu 42 francs. Compte tenu d’un tarif horaire de 180 fr. (par analogie art. 2 al. 1 let. a RAJ [règlement du 7 décembre 2010 sur l'assistance judiciaire en matière civile ; RSV 211.02.3]), l’indemnité d’honoraires doit être fixée à 874 fr. 80, soit 810 fr. plus 64 fr. 80 de TVA à 8 %, et les débours à 45 fr. 35, soit 42 fr. plus 3 fr. 35 de TVA, ce qui fait un total de 920 fr. 15. Par ces motifs, la Chambre des recours civile du Tribunal cantonal, statuant à huis clos, prononce : I. Le recours est rejeté. II. L’ordonnance est confirmée. III. L’arrêt est rendu sans frais judiciaires. IV. L’indemnité de Me Thierry de Mestral, conseil d’office du recourant, est arrêtée à 920 fr. 15 (neuf cent vingt francs et quinze centimes), débours et TVA compris. V. L'arrêt motivé est exécutoire. La vice-présidente : La greffière : Du 15 août 2014 Le dispositif de l'arrêt qui précède est communiqué par écrit aux intéressés. La greffière : Du L'arrêt qui précède, dont la rédaction a été approuvée à huis clos, est notifié en expédition complète, par l'envoi de photocopies, à : ‑ Me Thierry de Mestral (pour I.________)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