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62 vom 13. Dezember 2013</w:t>
      </w:r>
    </w:p>
    <w:p>
      <w:r>
        <w:t>VD Tribunal cantonal, 2013-12-13, FR</w:t>
      </w:r>
    </w:p>
    <w:p>
      <w:r>
        <w:rPr>
          <w:b/>
        </w:rPr>
        <w:t xml:space="preserve">Quelle: </w:t>
      </w:r>
      <w:r>
        <w:t>https://mcp.opencaselaw.ch/entscheid/vd_findinfo_HC___2014___62</w:t>
      </w:r>
    </w:p>
    <w:p>
      <w:r>
        <w:t>FR: VD_FINDINFO HC / 2014 / 62 du 13 décembre 2013</w:t>
      </w:r>
    </w:p>
    <w:p>
      <w:r>
        <w:t>IT: VD_FINDINFO HC / 2014 / 62 del 13 dicembre 2013</w:t>
      </w:r>
    </w:p>
    <w:p>
      <w:pPr>
        <w:pStyle w:val="Heading2"/>
      </w:pPr>
      <w:r>
        <w:t>Regeste</w:t>
      </w:r>
    </w:p>
    <w:p>
      <w:r>
        <w:t>CONTRAT D'ENTREPRISE, RÉSILIATION, INDEMNITÉ{EN GÉNÉRAL} | 377 CO</w:t>
      </w:r>
    </w:p>
    <w:p>
      <w:pPr>
        <w:pStyle w:val="Heading2"/>
      </w:pPr>
      <w:r>
        <w:t>Erwägungen</w:t>
      </w:r>
    </w:p>
    <w:p>
      <w:r>
        <w:rPr>
          <w:b/>
        </w:rPr>
        <w:t>E. 1</w:t>
      </w:r>
    </w:p>
    <w:p>
      <w:r>
        <w:t>let. b CPC [Code de procédure civile du 19 décembre 2008; RS 272]) dans les causes dont la valeur litigieuse est supérieure à 10’000 fr. (art. 308 al. 2 CPC). Ecrit et motivé, il est introduit dans les 30 jours à compter de la notification de la décision motivée ou de la notification postérieure de la motivation (art. 311 al. 1 CPC). La partie adverse peut former un appel joint dans sa réponse qui doit être déposée dans un délai de trente jours (art. 312 al. 2 et 313 al. 1 CPC). b) Formé en temps utile (art. 311 al. 1 CPC), par une partie qui y a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spéc. p. 134). Elle peut revoir librement la constatation des faits sur la base des preuves administrées en première instance (Tappy, op. cit., p. 135).</w:t>
      </w:r>
    </w:p>
    <w:p>
      <w:r>
        <w:rPr>
          <w:b/>
        </w:rPr>
        <w:t>E. 3</w:t>
      </w:r>
    </w:p>
    <w:p>
      <w:r>
        <w:t>Dans un premier grief, les appelantes font valoir que le premier juge aurait dû constater que faute de concordance entre les manifestations de volonté des parties, le contrat n’était pas conclu valablement, ni ne les liait. a) En cas d’annulation selon l’art. 318 al. 1 let. c CPC, les juges du premier degré sont liés par les considérants de la décision de renvoi. En principe, leur nouvelle décision est elle aussi susceptible d’appel, pour violation du droit ou constatation inexacte des faits selon l’art. 310 CPC. L’autorité d’appel est alors elle-même liée par les considérants de sa propre décision antérieure, y compris par les instructions données à l’autorité de première instance, et son examen ne peut désormais plus porter que sur les points nouvellement tranchés par cette autorité-ci (TF 4A 646/2011 du 26 février 2013 c. 3.2, in RSPC 2013 p. 319, non publié à l’ATF 139 III 190). b) En l’espèce, dans l’arrêt de renvoi du 28 septembre 2011, la Cour d’appel civile a retenu que les conditions de la résiliation du contrat par les appelantes n’étaient pas réalisées et que celle-ci devait être convertie en résiliation ordinaire au sens de l’art. 377 CO. La question de la résiliation du contrat présupposant l’existence d’un contrat valable, ce dernier point ‑ que ce soit sous l’angle des conditions de la conclusion du contrat ou des vices du consentement ‑ a été définitivement tranché par l’arrêt de renvoi, d’autant que la conclusion du contrat admise par le premier jugement annulé n’avait pas été remise en cause par les parties dans le cadre du premier appel. Supposé que cette question ait pu être revue par le premier juge, la solution qu’il a retenue peut être confirmée par adoption de motifs. Les appelantes ne sont en effet pas parvenues à établir qu’elles avaient précisé, le jour de la signature du contrat, qu’elles voulaient une cuisine en bois massif et construite sur mesure et que la cuisine prévue n’était pas celle qui avait été proposée par l’intimée. En outre, on ne saurait dire que la question des trois tiroirs constituait un élément essentiel du contrat, comme le prétendent les appelantes, cela d’autant que, selon l’expertise, l’on se trouvait bien, avec le modèle d’agencement choisi, avec trois tiroirs coulissants, dont un intérieur, mais avec un aspect extérieur de deux tiroirs. C’est donc en vain que les appelantes contestent la validité du contrat dès lors que l’ouvrage et le principe de rémunération avaient été déterminés dans une mesure suffisante.</w:t>
      </w:r>
    </w:p>
    <w:p>
      <w:r>
        <w:rPr>
          <w:b/>
        </w:rPr>
        <w:t>E. 4</w:t>
      </w:r>
    </w:p>
    <w:p>
      <w:r>
        <w:t>a) Les appelantes reprochent ensuite au premier juge d’avoir fait une mauvaise application de l’art. 377 CO. Elles estiment qu’elles pouvaient se départir du contrat sans avoir à indemniser l’entrepreneur déloyal. Si le principe d’une indemnisation devait quand même être admis par la Cour de céans, elles soutiennent qu’elle est trop élevée, la réduction opérée par le premier juge étant insuffisante. Elles s’en prennent ainsi à l’appréciation faite par ce dernier, qui n’aurait en particulier pas tenu compte du fait que la commande avait été lancée alors qu’elles n’avaient pas signé les plans techniques. L’intimée et appelante par voie de jonction relève pour sa part que les critiques des appelantes se heurtent à la lettre de R.________ du 29 juin 2008 et aux constatations de l’expert judiciaire. Elle ajoute que quoi qu’il en soit, en vertu de la jurisprudence, l’événement opposable à l’entrepreneur ne peut pas résider dans la mauvaise exécution ou dans les retards survenant en cours de travaux et qui lui sont imputables. Dans son appel joint, elle conteste la réduction supplémentaire de 10% opérée sur la base de l’art. 44 CO, faisant valoir qu’aucun comportement répréhensible ‑ qui lui serait imputable et qui ne tiendrait pas à une mauvaise exécution ou à des retards en cours de travaux ‑ n’avait été identifié comme ayant contribué de manière importante à la rupture de la relation contractuelle. b) Aux termes de l’art. 377 CO, tant que l’ouvrage n’est pas terminé, le maître peut toujours se départir du contrat, en payant le travail fait et en indemnisant complètement l’entrepreneur. Il s’agit là du dommage positif, soit l’intérêt de l’entrepreneur à l’exécution complète, y compris le bénéfice manqué, tel que le contrat le prévoyait (ATF 117 II 273). Après avoir rendu une jurisprudence fluctuante à cet égard, le Tribunal fédéral a admis que l’indemnité due à l’entrepreneur, en cas de résiliation selon l’art. 377 CO, pouvait faire l’objet d’une réduction, si les circonstances de l’espèce le justifiaient, laissant ouverte la question dogmatique de son fondement (TF 4C.393/2006 du 27 avril 2007, c. 3.3.1). Cela étant, par une application analogique de l’art. 44 CO, il a retenu que l’entrepreneur ne pouvait se voir opposer une réduction de l’indemnité due que s’il avait, par son comportement fautif, contribué dans une mesure importante à l’événement qui avait poussé le maître à se départir du contrat, tout en relevant qu’il s’agissait là d’une question d’appréciation à trancher selon les règles du droit et de l’équité. Un tel juste motif, ou cause de réduction, ne pouvait pas résider dans la mauvaise exécution ou dans les retards imputables à l’entrepreneur qui survenaient en cours de travaux dès lors que ces éventualités tombaient sous le coup de l’art. 366 CO qui traitait cette situation de manière complète. Cette exclusion ne s’appliquait toutefois pas si les conditions de l’art. 366 CO n’étaient pas remplies (idem, c. 3.3.3), comme c’est le cas en l’espèce (cf. arrêt de renvoi du 28 septembre 2011, c. 3 et 4). c) En l’occurrence, les motifs retenus par le premier juge – soit les reports de la date pour la pose de la cuisine et le fait que les appelantes ont dû demander à plusieurs reprises des modifications de plans, qui ne constituaient pas des nouveautés exigées par celles-là, mais une mise en conformité avec ce qui avait été demandé au départ ‑ sont des circonstances imputables à l’entrepreneur qui ont contribué de manière importante à la résiliation du contrat, même s’il est vrai que la responsabilité des reports de dates est partagée. La quotité de 10% admise par le premier juge ne prête pas le flanc à la critique, d’autant que, lorsqu’il s’agit de revoir une question d’appréciation, l’autorité d’appel peut s’autoriser une certaine retenue (Jeandin, CPC commenté, n. 5 ad art. 310 CPC ; TF 5A_265/2012 du 30 mai 2012, c. 4.3.2). Il en résulte qu’elle ne saurait substituer sa propre appréciation à celle de l’autorité inférieure (Seiler, Die Berufung nach ZPO, no 475 p. 205 ; Sterchi, Berner Kommentar, n. 9 ad art. 310 CPC; CACI 16 août 2013/417 quotité de réduction du loyer en cas de défaut de la chose louée). On relèvera encore que l’argument des appelantes qui consiste à reprocher au premier juge de ne pas avoir tenu compte du fait que l’intimée avait effectué la commande des éléments de la cuisine à poser alors qu’elles n’avaient pas encore signé les plans techniques n’est pas dépourvu de pertinence. Cela étant, la Cour de céans estime que le juge n’a pas abusé de son pouvoir d’appréciation sur ce point ; l’attitude quelque peu ambiguë et passive adoptée par les appelantes pouvait en effet laisser penser qu’elles étaient d’accord avec les plans remis.</w:t>
      </w:r>
    </w:p>
    <w:p>
      <w:r>
        <w:rPr>
          <w:b/>
        </w:rPr>
        <w:t>E. 5</w:t>
      </w:r>
    </w:p>
    <w:p>
      <w:r>
        <w:t>a) Les deux parties contestent à titre subsidiaire le montant final de l’indemnité. Pour leur part, les appelantes reviennent sur la première réduction de 10% du prix contractuel opérée par le juge pour tenir compte du fait que la pose de la cuisine n’a pas eu lieu, faisant valoir en particulier que le montant de la réduction de 3’961 fr. 90 était largement sous-évalué dans la mesure où le prix de la pose avait été fixé à 8’580 francs lors des discussions de prix du 19 septembre 2007. Elles se réfèrent à cet égard à la pièce</w:t>
      </w:r>
    </w:p>
    <w:p>
      <w:r>
        <w:rPr>
          <w:b/>
        </w:rPr>
        <w:t>E. 7</w:t>
      </w:r>
    </w:p>
    <w:p>
      <w:r>
        <w:t>Il résulte de ce qui précède que l'appel principal et l’appel joint doivent tous deux être rejetés. Les frais judiciaires de deuxième instance des appelantes principales sont arrêtés à 1'317 fr. et ceux de l'appelante par voie de jonction à 850 francs (art. 62 TFJC [tarif des frais judiciaires en matière civile du 28 septembre 2010; RSV 270.11.5]). Les dépens de deuxième instance sont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