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616 vom 6. Juni 2014</w:t>
      </w:r>
    </w:p>
    <w:p>
      <w:r>
        <w:t>VD Tribunal cantonal, 2014-06-06, FR</w:t>
      </w:r>
    </w:p>
    <w:p>
      <w:r>
        <w:rPr>
          <w:b/>
        </w:rPr>
        <w:t xml:space="preserve">Quelle: </w:t>
      </w:r>
      <w:r>
        <w:t>https://mcp.opencaselaw.ch/entscheid/vd_findinfo_HC___2014___616</w:t>
      </w:r>
    </w:p>
    <w:p>
      <w:r>
        <w:t>FR: VD_FINDINFO HC / 2014 / 616 du 6 juin 2014</w:t>
      </w:r>
    </w:p>
    <w:p>
      <w:r>
        <w:t>IT: VD_FINDINFO HC / 2014 / 616 del 6 giugno 2014</w:t>
      </w:r>
    </w:p>
    <w:p>
      <w:pPr>
        <w:pStyle w:val="Heading2"/>
      </w:pPr>
      <w:r>
        <w:t>Regeste</w:t>
      </w:r>
    </w:p>
    <w:p>
      <w:r>
        <w:t>HYPOTHÈQUE LÉGALE DES ARTISANS ET ENTREPRENEURS, DÉLAI, DÉLAI LÉGAL, DÉLAI POUR INTENTER ACTION, TRAVAUX ACCESSOIRES, REGISTRE FONCIER | 837 al. 1 ch. 3 CC, 839 al. 2 CC</w:t>
      </w:r>
    </w:p>
    <w:p>
      <w:pPr>
        <w:pStyle w:val="Heading2"/>
      </w:pPr>
      <w:r>
        <w:t>Erwägungen</w:t>
      </w:r>
    </w:p>
    <w:p>
      <w:r>
        <w:rPr>
          <w:b/>
        </w:rPr>
        <w:t>E. 1</w:t>
      </w:r>
    </w:p>
    <w:p>
      <w:r>
        <w:t>a) L'appel est recevable contre les décisions finales de première instance (art. 308 al. 1 let. a CPC [Code de procédure civile du 19 décembre 2008, entré en vigueur le 1 er janvier 2011; RS 272]) au sens de l'art. 236 CPC, dans les causes patrimoniales dont la valeur litigieuse dépasse 10'000 fr. (art. 308 al. 2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En l’espèce, l’appelante ne se plaint pas d’une constatation inexacte des faits, mais d’une appréciation erronée de ceux-ci au regard de l’application de l’art. 839 al. 2 aCC (cf. c. 3d infra).</w:t>
      </w:r>
    </w:p>
    <w:p>
      <w:r>
        <w:rPr>
          <w:b/>
        </w:rPr>
        <w:t>E. 3</w:t>
      </w:r>
    </w:p>
    <w:p>
      <w:r>
        <w:t>a) L’inscription provisoire litigieuse a été ordonnée à titre préprovisionnel le 3 février 2010 et confirmée à titre provisionnel le 24 mars 2010 sous l’empire du Code de procédure civile vaudois du 14 décembre 1966 (CPC-VD). La procédure provisionnelle ne créait pas la litispendance (cf. art. 119 al. 1 CPC-VD). L’instance en inscription définitive a donc été introduite par la demande déposée le 28 octobre 2011 (art. 62 CPC). Conformément à l’art. 1 al. 1 tit. fin. CC, sont applicables les dispositions du Code civil suisse (en particulier les art. 837 et 839 CC) dans leur état avant l’entrée en vigueur de la loi fédérale du 11 décembre 2009, en vigueur depuis le 1 er janvier 2012 (RO 2011 4637) et celles de l’ordonnance du 22 février 1910 sur le registre foncier (ORF 1910; RS 211.432.1), remplacée depuis par celle du 23 septembre 2011, entrée en vigueur le 1 er janvier 2012 (art. 165 ORF). Il n’y a pas de problème de droit transitoire dès lors que le délai de trois mois pour requérir l’inscription était de toute manière échu le 1 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 e éd., 2003,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 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5 janvier 2010 de l’appelante, du tableau des plus-values et de la déposition du témoin Q.________, que les travaux confiés par les intimés au sous-traitant par l’intermédiaire de l’entrepreneur général étaient achevés le 9 octobre 2009 au plus tard, de sorte que le délai péremptoire de trois mois de l’art. 839 al. 2 aCC était échu lors de l’inscription provisoire opérée le 3 février 2010. e) Dès lors que l’inscription provisoire de l’hypothèque légale des artisans et entrepreneurs a été opérée le 3 février 2010 au registre foncier sur la parcelle n° [...] des époux M.T.________, il incombait à l’appelante de prouver que les travaux d’électricité entrant dans le cadre du contrat de sous-traitant n’étaient pas achevés le 3 novembre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10877-2010/PV établie le 5  janvier 2010 par l’appelante relative au lot n° 5 des époux M.T.________,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8’926 fr. 70 et qu’il est mentionné sur le tableau que celui-ci a été envoyé le 20 septembre 2009 et modifié le 9 octobre 2009. La réception de l’ouvrage a eu lieu le 4 novembre 2009, en même temps que la remise des clés. L’appelante convient que la date de réception de l’ouvrage ne constitue pas une preuve suffisante pour la détermination du dies a quo, mais soutient qu’elle constituerait un indice.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qui a eu lieu le 4 novembre 2009, l’entrepreneur général et les intimés ont réservé les défauts, dont ils ont établi une liste manuscrite et prévu le délai d’élimination, selon que les défauts étaient majeurs ou mineurs. Il s’ensuit qu’il y a nécessairement eu, après le 4 novembre 2009, des travaux d’élimination des défauts, lesquels, selon la jurisprudence (cf. c. 3c/bb supra), n’entrent pas en ligne de compte pour la computation du délai de l’art. 839 al. 2 CC. Il appartenait à l’appelante, qui supporte le fardeau de la preuve, d’établir que des travaux d’achèvement, au sens de la jurisprudence (cf. c. 3c/bb supra), avaient été exécutés après le 4 novembre 2009. cc) Comme l’appelante en convient elle-même, l’audition des témoins Q.________ [...] ne lui a pas permis d’apporter cette preuve. Q.________ a déclaré que lorsque les propriétaires étaient entrés dans les lieux, l’électricité était prête, en particulier dans le lot n° 5 des intimés. Il s’est souvenu en général être intervenu pour « quelques petites choses » que les propriétaires « demandaient en plus », sans pouvoir dire si tel avait été le cas des intimés. Quant au témoin [...], sa déposition est trop imprécise pour permettre de savoir à quel moment et sur quelle villa il a donné des coups de main à Q.________ pour « des bricoles seulement ». dd) L’appelante se réfère à diverses pièces relatives aux interventions de ses employés sur les lots de la promotion « [...]», en particulier aux récapitulatifs des heures de travail de Q.________ pour les mois de novembre et décembre 2009, aux rapports de travail hebdomadaires de Q.________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Q.________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5 janvier 2010 (cf. c. 3d/aa supra). L’appelante soutient en outre que le rapport de sécurité interne prévu par l’OIBT ferait partie des travaux d’achèvement. L’art. 24 OIBT dispose qu’une première vérification doit être effectuée avant la mise en service, parallèlement à la construction d'installations ou de parties d'installations électriques (al. 1) ; avant la remise au propriétaire, un contrôle final propre à l'entreprise doit être exécuté par une personne du métier selon l'art. 8 ou par un contrôleur/chef monteur-électricien, et les résultats sont consignés dans un rapport de sécurité (al. 2). Toutefois, il ne s’agit pas de travaux, mais d’un simple contrôle, qui a d’ailleurs en l’espèce été effectué lors de la remise au propriétaire, intervenue le 4 novembre 2009. Au surplus, une entreprise d’électricité ne saurait différer un tel contrôle pour invoquer ensuite que les travaux n’étaient pas achevés. ee) En définitive, force est de constater que l’appelante a échoué à apporter la preuve, qui lui incombait, que l’inscription provisoire de l’hypothèque légale des artisans et entrepreneurs opérée le 3 février 2010 au registre foncier sur la parcelle n° [...] des époux M.T.________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853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