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611 vom 11. Juli 2014</w:t>
      </w:r>
    </w:p>
    <w:p>
      <w:r>
        <w:t>VD Tribunal cantonal, 2014-07-11, FR</w:t>
      </w:r>
    </w:p>
    <w:p>
      <w:r>
        <w:rPr>
          <w:b/>
        </w:rPr>
        <w:t xml:space="preserve">Quelle: </w:t>
      </w:r>
      <w:r>
        <w:t>https://mcp.opencaselaw.ch/entscheid/vd_findinfo_HC___2014___611</w:t>
      </w:r>
    </w:p>
    <w:p>
      <w:r>
        <w:t>FR: VD_FINDINFO HC / 2014 / 611 du 11 juillet 2014</w:t>
      </w:r>
    </w:p>
    <w:p>
      <w:r>
        <w:t>IT: VD_FINDINFO HC / 2014 / 611 del 11 luglio 2014</w:t>
      </w:r>
    </w:p>
    <w:p>
      <w:pPr>
        <w:pStyle w:val="Heading2"/>
      </w:pPr>
      <w:r>
        <w:t>Regeste</w:t>
      </w:r>
    </w:p>
    <w:p>
      <w:r>
        <w:t>OBLIGATION D'ENTRETIEN, FRAIS DE VOYAGE, DROIT À DES CONDITIONS MINIMALES D'EXISTENCE | 176 al. 1 ch. 1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JT 2010 III 121 ; ATF 137 III 475 c. 4.1), dans les causes non patrimoniales ou dans les affaires patrimoniales dont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 RSV 173.01]). En l'espèce, formé en temps utile par une partie qui y a intérêt (art. 59 al. 2 let. a CPC) et portant sur des conclusions qui, capitalisées selon l'art. 92 al. 2 CPC, sont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Aux termes de l’art. 311 CPC, l'appel doit être écrit et motivé. Cela signifie que l'appelant a le fardeau d'expliquer les motifs pour lesquels le jugement attaqué doit être annulé ou modifié, par référence à l'un et/ou l'autre motif(s) prévu(s) à l'art. 310 CPC (TF 4A_659/2011 du 7 décembre 2011, in SJ 2012 I 131 c. 3; CACI 24 novembre 2011/369 c. 3a; Jeandin, CPC commenté, Bâle 2011, n. 3 ad art. 311 CPC). La motivation doit être suffisamment explicite pour que l’instance d’appel puisse la comprendre aisément, ce qui suppose une désignation précise des passages de la décision que le recourant attaque et des pièces du dossier sur lesquelles repose sa critique (ATF 138 I 374 c. 4.3.1 ; TF 4A_651/2012 du 7 février 2013 c. 4.2). L’instance supérieure doit pouvoir comprendre ce qui est reproché au premier juge sans avoir à rechercher les griefs par elle-même, ce qui exige une certaine précision quant à l’énoncé et à la discussion des griefs (Jeandin, CPC commenté, op. cit., n. 3 ad art. 311 CPC). La maxime inquisitoire ne dispense pas les parties de collaborer activement à la procédure et d'étayer leurs propres thèses; il leur incombe de renseigner le juge sur les faits de la cause et de lui indiquer les moyens de preuve disponibles (ATF 128 III 411 c. 3.2.1 et les références; TF 5A_522/2011 du 18 janvier 2012 c. 4.1 in fine; TF 5P.473/2006 du 19 décembre 2006 c. 3.2).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 c) En l’espèce, l’appelant a produit un bordereau à l’appui de son appel. Il explique avoir offert la production de certaines de ces pièces lors de l’audience de mesures protectrices de l’union conjugale mais qu’elles n’auraient pas été versées au dossier. Le procès-verbal d’audience mentionne que l’appelant a produit certaines pièces mais le refus de verser au dossier certaines pièces offertes n’a pas été verbalisé. L’appelant n’était alors pas assisté d’un conseil et l’on ne saurait, en conséquence, exiger de sa part une preuve stricte que l’instance inférieure a refusé l’administration d’une preuve offerte. Dans ces circonstances, il y a lieu de tenir compte des pièces produites en deuxième instance, y compris de la pièce produite après le dépôt du mémoire d’appel, à savoir le courrier de la [...] du</w:t>
      </w:r>
    </w:p>
    <w:p>
      <w:r>
        <w:rPr>
          <w:b/>
        </w:rPr>
        <w:t>E. 5</w:t>
      </w:r>
    </w:p>
    <w:p>
      <w:r>
        <w:t>En définitive, l’appel doit être rejeté, en application de l'art. 312 al. 1 CPC, et l’ordonnance entreprise doit être confirmée.</w:t>
      </w:r>
    </w:p>
    <w:p>
      <w:r>
        <w:rPr>
          <w:b/>
        </w:rPr>
        <w:t>E. 6</w:t>
      </w:r>
    </w:p>
    <w:p>
      <w:r>
        <w:t>L’appelant requiert d’être mis au bénéfice de l’assistance judiciaire. a) Une personne a droit à l’assistance judiciaire si elle ne dispose pas de ressources suffisantes et si sa cause ne paraît pas dépourvue de toute chance de succès (art. 117 CPC). L’assistance judiciaire comprend la commission d’office d’un conseil juridique par le tribunal lorsque la défense des droits du requérant l’exige , en particulier lorsque la partie adverse est assistée d’un avocat, l’assistance d’un conseil juridique pouvant déjà être accordée pour la préparation du procès (art. 118 al. 1 let. c CPC). Cette disposition impose le respect du principe de l’égalité des armes en ce sens qu’un conseil d’office doit être accordé lorsque la partie adverse est assistée d’un avocat. Cette hypothèse constitue un exemple de situation où l’assistance d’office est nécessaire (Tappy, CPC commenté, op. cit., nn. 2 et 17 ad art. 118 CPC, Emmel, Kommentar zur Schweizerischen Zivilprozessordnung, Sutter-Somm/Hasenböhler/Leuenberger Hrsg, 2010, n. 9 ad art. 118 CPC). b) En l’espèce, il ressort des pièces du dossier que l’intimée est au bénéfice de l’assistance judiciaire et représentée par un conseil d’office depuis le 3 septembre 2013. En application du principe de l’égalité des armes rappelé ci-dessus, et compte tenu de la situation économique de l’appelant, il y a lieu d’admettre sa requête d'assistance judiciaire pour la procédure d’appel, Me Flore Primault étant désignée comme conseil d'office.</w:t>
      </w:r>
    </w:p>
    <w:p>
      <w:r>
        <w:rPr>
          <w:b/>
        </w:rPr>
        <w:t>E. 7</w:t>
      </w:r>
    </w:p>
    <w:p>
      <w:r>
        <w:t>Les frais judiciaires de deuxième instance sont arrêtés à 600 fr. (art. 65 al. 2 TFJC [tarif des frais judiciaires civils du 28 septembre 2010, RSV 270.11.5]). Ils seront laissés à la charge de l’Etat, l’appelant bénéficiant de l’assistance judiciaire (art. 122 al. 1 let. b CPC). Me Flore Primault, conseil d’office de l’appelant, a produit une liste de ses opérations le 10 juillet 2014, annonçant avoir consacré 10 heures 40 de travail auquel il convenait d’ajouter 18 fr. à titre de débours, ce qui peut être admis. Au tarif horaire de 180 fr. (art. 2 al. 1 let. a RAJ [règlement du 7 décembre 2010 sur l'assistance judiciaire en matière civile, RSV 211.02.3]), l'indemnité d'honoraires due au conseil de l’appelant doit être arrêtée à 1'875 fr., plus TVA (8%) de 150 fr. et 18 fr. de débours, ce qui fait un total de 2'043 francs. Le bénéficiaire de l’assistance judiciaire est, dans la mesure de l’art. 123 CPC, tenu au remboursement des frais judiciaires et de l’indemnité versée à son conseil d’office mis à la charge de l’Etat. L’intimée n’ayant pas été invitée à se déterminer, il n’y a pas lieu de lui allouer de dépens de deuxième instance. Par ces motifs, la Juge déléguée de la Cour d’appel civile du Tribunal cantonal, statuant à huis clos, en application de l'art. 312 al. 1 CPC prononce : I. L’appel est rejeté. II. Le prononcé est confirmé. III. Les frais judiciaires de deuxième instance, arrêtés à 600 fr. (six cents francs) pour l’appelant S.________, sont laissés à la charge de l’Etat. IV. L’indemnité d’office de Me Flore Primault, conseil de l’appelant, est fixée à 2'043 fr. (deux mille quarante-trois francs), TVA et débours compris. V. Le bénéficiaire de l’assistance judiciaire est, dans la mesure de l’art. 123 CPC, tenu au remboursement des frais judiciaires et de l’indemnité versée à son conseil d’office mis à la charge de l’Etat. VI. L’arrêt motivé est exécutoire. La juge déléguée : La greffière : Du 15 juillet 2014 Le dispositif de l'arrêt qui précède est communiqué par écrit aux intéressés. La greffière : Du L'arrêt qui précède, dont la rédaction a été approuvée à huis clos, est notifié à : ‑ Me Flore Primault, (pour S.________), ‑ Me Baptiste Viredaz, (pour T.________).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