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608 vom 6. August 2014</w:t>
      </w:r>
    </w:p>
    <w:p>
      <w:r>
        <w:t>VD Tribunal cantonal, 2014-08-06, FR</w:t>
      </w:r>
    </w:p>
    <w:p>
      <w:r>
        <w:rPr>
          <w:b/>
        </w:rPr>
        <w:t xml:space="preserve">Quelle: </w:t>
      </w:r>
      <w:r>
        <w:t>https://mcp.opencaselaw.ch/entscheid/vd_findinfo_HC___2014___608</w:t>
      </w:r>
    </w:p>
    <w:p>
      <w:r>
        <w:t>FR: VD_FINDINFO HC / 2014 / 608 du 6 août 2014</w:t>
      </w:r>
    </w:p>
    <w:p>
      <w:r>
        <w:t>IT: VD_FINDINFO HC / 2014 / 608 del 6 agosto 2014</w:t>
      </w:r>
    </w:p>
    <w:p>
      <w:pPr>
        <w:pStyle w:val="Heading2"/>
      </w:pPr>
      <w:r>
        <w:t>Regeste</w:t>
      </w:r>
    </w:p>
    <w:p>
      <w:r>
        <w:t>EXPULSION DE LOCATAIRE, RÉPARTITION DES FRAIS, FRAIS JUDICIAIRES, DÉPENS | 28 TFJC, 106 al. 1 CPC (CH), 110 CPC (CH), 11 TDC</w:t>
      </w:r>
    </w:p>
    <w:p>
      <w:pPr>
        <w:pStyle w:val="Heading2"/>
      </w:pPr>
      <w:r>
        <w:t>Erwägungen</w:t>
      </w:r>
    </w:p>
    <w:p>
      <w:r>
        <w:rPr>
          <w:b/>
        </w:rPr>
        <w:t>E. 1</w:t>
      </w:r>
    </w:p>
    <w:p>
      <w:r>
        <w:t>Selon l’art. 319 let. a CPC (en relation avec l’art. 309 let. a CPC), un recours peut être formé contre une décision du tribunal de l’exécution dans les dix jours dès la notification de la décision attaquée (art. 321 al. 2 CPC). La décision sur les frais peut également être attaquée par un recours (art. 110 CPC).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Aux termes de l’art. 326 CPC, les conclusions, les allégations de faits et les preuves nouvelles sont irrecevables.</w:t>
      </w:r>
    </w:p>
    <w:p>
      <w:r>
        <w:rPr>
          <w:b/>
        </w:rPr>
        <w:t>E. 3</w:t>
      </w:r>
    </w:p>
    <w:p>
      <w:r>
        <w:t>a) Le recourant conteste la mise à sa charge des frais de la procédure d’expulsion, ainsi que des dépens. Il motive sommairement son recours, en soutenant avoir remis les clés spontanément au concierge de l’immeuble le</w:t>
      </w:r>
    </w:p>
    <w:p>
      <w:r>
        <w:rPr>
          <w:b/>
        </w:rPr>
        <w:t>E. 7</w:t>
      </w:r>
    </w:p>
    <w:p>
      <w:r>
        <w:t>août 2014 Le dispositif de l'arrêt qui précède est communiqué par écrit aux intéressés. La greffière : Du L'arrêt qui précède, dont la rédaction a été approuvée à huis clos, est notifié en expédition complète, par l'envoi de photocopies, à : ‑ M. J.________, ‑ M. Jean-Marc Schlaeppi (pour B.________). La Chambre des recours civile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