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605 vom 5. August 2014</w:t>
      </w:r>
    </w:p>
    <w:p>
      <w:r>
        <w:t>VD Tribunal cantonal, 2014-08-05, FR</w:t>
      </w:r>
    </w:p>
    <w:p>
      <w:r>
        <w:rPr>
          <w:b/>
        </w:rPr>
        <w:t xml:space="preserve">Quelle: </w:t>
      </w:r>
      <w:r>
        <w:t>https://mcp.opencaselaw.ch/entscheid/vd_findinfo_HC___2014___605</w:t>
      </w:r>
    </w:p>
    <w:p>
      <w:r>
        <w:t>FR: VD_FINDINFO HC / 2014 / 605 du 5 août 2014</w:t>
      </w:r>
    </w:p>
    <w:p>
      <w:r>
        <w:t>IT: VD_FINDINFO HC / 2014 / 605 del 5 agosto 2014</w:t>
      </w:r>
    </w:p>
    <w:p>
      <w:pPr>
        <w:pStyle w:val="Heading2"/>
      </w:pPr>
      <w:r>
        <w:t>Regeste</w:t>
      </w:r>
    </w:p>
    <w:p>
      <w:r>
        <w:t>CERTIFICAT D'HÉRITIER, INTÉRÊT DIGNE DE PROTECTION | 567 CC, 571 CC, 59 al. 2 let. a CPC (CH)</w:t>
      </w:r>
    </w:p>
    <w:p>
      <w:pPr>
        <w:pStyle w:val="Heading2"/>
      </w:pPr>
      <w:r>
        <w:t>Erwägungen</w:t>
      </w:r>
    </w:p>
    <w:p>
      <w:r>
        <w:rPr>
          <w:b/>
        </w:rPr>
        <w:t>E. 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les décisions relatives au certificat d’héritier (art. 109 al. 3 CDPJ; CREC 4 avril 2011/20 c. 1).</w:t>
      </w:r>
    </w:p>
    <w:p>
      <w:r>
        <w:rPr>
          <w:b/>
        </w:rPr>
        <w:t>E. 2</w:t>
      </w:r>
    </w:p>
    <w:p>
      <w:r>
        <w:t>Le recours, écrit et motivé (art. 321 al. 1 CPC), doit s'exercer dans un délai de dix jours pour les décisions prises en procédure sommaire (art. 321 al. 2 CPC). L'existence d'un intérêt digne de protection du recourant (art. 59 al. 2 CPC) est une condition de recevabilité de tout recours. L’absence d’un intérêt digne de protection doit être relevée d’office, à tous les stades du procès (Bohnet, CPC commenté, Bâle 2011, n. 92 ad art. 59). En l'espèce, le recours a été formé par une partie dont la qualité d’héritière légale a été admise. On ne discerne donc pas quel intérêt peut avoir la recourante A.M.________. Son recours doit ainsi être déclaré irrecevable. Par surabondance, celui-ci doit être rejeté pour les motifs développés ci-après.</w:t>
      </w:r>
    </w:p>
    <w:p>
      <w:r>
        <w:rPr>
          <w:b/>
        </w:rPr>
        <w:t>E. 3</w:t>
      </w:r>
    </w:p>
    <w:p>
      <w:r>
        <w:t>a) On comprend de l’acte de recours sommairement motivé que la recourante conteste le certificat d’héritier qui lui est délivré au seul motif qu’elle désire céder sa part à sa mère. b) Au termes de l’art. 567 CC, le délai pour répudier est de trois mois (al. 1). Il court, pour les héritiers légaux, dès le jour où ils ont eu connaissance du décès, à moins qu’ils ne prouvent n’avoir connu que plus tard leur qualité d’héritier; pour les institués, dès le jour où ils ont été prévenus officiellement de la disposition faite en leur faveur (al. 2). Conformément à l’art. 571 CC, les héritiers qui ne répudient pas dans le délai fixé acquièrent la succession purement et simplement. c) En l’espèce, le juge de paix a adressé le formulaire habituel d’acceptation et de répudiation de la succession à chacun des héritiers légaux du défunt par pli du 26 mars 2014. Il résulte des pièces du dossier que le fils du défunt, [...], a retourné ce formulaire rempli et signé, en déclarant d’ores et déjà céder sa part à sa mère. Le juge de paix en a tenu compte en ne délivrant pas de certificat d’héritier à celui-ci, ce qui paraît erroné puisque [...] a accepté la succession. Sa déclaration de cession en faveur de sa mère relève des rapports internes entre héritiers légaux, mais ne devait pas empêcher qu’un certificat d’héritier lui soit également délivré. Par ailleurs, tant l’épouse que les filles du défunt ont signé purement et simplement l’acceptation de la succession. Ce n’est que dans son recours que A.M.________ a précisé qu’elle entendait procéder comme son frère. Au vu de ce qui précède, il est donc correct d’avoir délivré un certificat d’héritier à la recourante, conformément à sa déclaration d’acceptation et en application de l’art. 136 CDPJ.</w:t>
      </w:r>
    </w:p>
    <w:p>
      <w:r>
        <w:rPr>
          <w:b/>
        </w:rPr>
        <w:t>E. 4</w:t>
      </w:r>
    </w:p>
    <w:p>
      <w:r>
        <w:t>En définitive, le recours, mal fondé, doit être rejeté dans la mesure de sa recevabilité, et la décision entreprise confirmée. Les frais judiciaires de deuxième instance, arrêtés à 300 fr. (art. 74 al. 2 TFJC [tarif des frais judiciaires civils du 28 septembre 2010; RSV 270.11.5]), sont mis à la charge de la recourante, qui succombe (art. 106 al. 1 CPC). Il n’y a pas matière à l’allocation de dépens de deuxième instance (Tappy, CPC commenté, op. cit., n. 34 ad art. 107 CPC, p. 426). Par ces motifs, la Chambre des recours civile du Tribunal cantonal, statuant à huis clos, en application de l'art. 322 al. 1 CPC, prononce : I. Le recours est rejeté dans la mesure où il est recevable. II. La décision est confirmée. III. Les frais judiciaires de deuxième instance, arrêtés à 300 fr. (trois cents francs), sont mis à la charge de la recourante A.M.________. IV. L’arrêt est exécutoire. Le président :               La greffière : Du L'arrêt qui précède, dont la rédaction a été approuvée à huis clos, est notifié en expédition complète, par l'envoi de photocopies, à : ‑ Mme A.M.________, ‑ Mme C.M.________, - Mme B.M.________, - M.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