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602 vom 5. August 2014</w:t>
      </w:r>
    </w:p>
    <w:p>
      <w:r>
        <w:t>VD Tribunal cantonal, 2014-08-05, FR</w:t>
      </w:r>
    </w:p>
    <w:p>
      <w:r>
        <w:rPr>
          <w:b/>
        </w:rPr>
        <w:t xml:space="preserve">Quelle: </w:t>
      </w:r>
      <w:r>
        <w:t>https://mcp.opencaselaw.ch/entscheid/vd_findinfo_HC___2014___602</w:t>
      </w:r>
    </w:p>
    <w:p>
      <w:r>
        <w:t>FR: VD_FINDINFO HC / 2014 / 602 du 5 août 2014</w:t>
      </w:r>
    </w:p>
    <w:p>
      <w:r>
        <w:t>IT: VD_FINDINFO HC / 2014 / 602 del 5 agosto 2014</w:t>
      </w:r>
    </w:p>
    <w:p>
      <w:pPr>
        <w:pStyle w:val="Heading2"/>
      </w:pPr>
      <w:r>
        <w:t>Regeste</w:t>
      </w:r>
    </w:p>
    <w:p>
      <w:r>
        <w:t>EXPULSION DE LOCATAIRE, EXÉCUTION FORCÉE, SUSPENSION DU DÉLAI, REJET DE LA DEMANDE | 257d al. 1 CO, 257d CO, 341 al. 1 CPC (CH), 341 CPC (CH)</w:t>
      </w:r>
    </w:p>
    <w:p>
      <w:pPr>
        <w:pStyle w:val="Heading2"/>
      </w:pPr>
      <w:r>
        <w:t>Erwägungen</w:t>
      </w:r>
    </w:p>
    <w:p>
      <w:r>
        <w:rPr>
          <w:b/>
        </w:rPr>
        <w:t>E. 1</w:t>
      </w:r>
    </w:p>
    <w:p>
      <w:r>
        <w:t>La voie du recours de l’art. 319 let. a CPC (Code de procédure civile du 19 décembre 2008 ; RS 272) est ouverte contre les décisions du tribunal de l’exécution, la voie de l’appel étant exclue par l’art. 309 let. a CPC (Jeandin, CPC commenté, 2011, n. 5 ad art. 309 CPC, p. 1246 et n. 22 ad art. 341 CPC, p. 1334). La procédure sommaire étant applicable à la procédure d’exécution (art. 339 al. 2 CPC), le délai de recours est de dix jours (art. 321 al. 2 CPC). Saisie d’un recours contre une décision d’exécution forcée régie en première instance par la procédure sommaire (cf. art. 339 al. 2 CPC), la Chambre des recours civile statue dans une composition à trois juges (JT 2011 III 44 ; CREC 21 mars 2011/11 ; CREC 18 avril 2011/35). L’existence d’un intérêt du recourant (art. 59 al. 2 let. a CPC) est une condition de recevabilité de tout recours, cet intérêt devant être juridique et non de fait (ATF 127 III 429 c. 1b; ATF 120 Il 7 c. 2a; ATF 118 Il 108 c. 2c; JT 2001 III 13 ; ATF 107 II 504 c. 3 ; Poudret, Commentaire de la loi fédérale d'organisation judiciaire, vol. II, n. 5 ad art. 53 OJ, pp. 387 ss). Un recours peut devenir sans objet si l'intérêt fait défaut à la date de son dépôt ou en raison d'un fait postérieur à celui-ci (Poudret, op. cit., n. 5.5 ad art. 53 OJ et jurisprudence citée ad art. 72 PCF, sous n. 2 ad art. 40 OJ).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in Corboz et alii, Commentaire de la LTF, 2 e éd., Berne 2014, n. 27 ad art. 97 LTF, p. 1117).</w:t>
      </w:r>
    </w:p>
    <w:p>
      <w:r>
        <w:rPr>
          <w:b/>
        </w:rPr>
        <w:t>E. 3</w:t>
      </w:r>
    </w:p>
    <w:p>
      <w:r>
        <w:t>a) Les recourants s’en prennent au délai imparti par le premier juge pour quitter les locaux. Invoquant la nécessité de disposer d’un délai suffisant, au minimum deux mois, pour effectuer les travaux de démontage et de déménagement du café-bar, ainsi que l’inopportunité à mettre ces travaux en oeuvre durant la période des vacances estivales, les recourants font valoir qu’il leur est indispensable de bénéficier d’un délai plus long. Ils mettent par ailleurs en avant la disproportion des intérêts en présence, les loyers en retard ayant été finalement rattrapés alors que l’expulsion anéantirait les moyens d’existence nécessaires à la famille du recourant E.________, à lui-même et à ses quatre employés non encore licenciés. De plus, l’expulsion pourrait aboutir à la faillite de la société recourante et à la perte des investissements consentis dans cet établissement pour un montant de 200'000 francs. b/aa) 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bb) L’art. 257d CO donne le droit au bailleur de résilier le bail moyennant un délai de congé d’un mois et de requérir l’expulsion du locataire lorsque celui-ci ne s’acquitte pas de l’arriéré dans le délai de trente jours imparti par la sommation, cela même si l’arriéré est finalement payé (ATF 127 II 548 c.4 ; TF arrêt du 27 février 1997 in Cahiers du bail [ 3 pp. 65 ss). Selon la jurisprudence, dans le cadre d’une expulsion pour retard dans le paiement du loyer selon l’art. 257d CO,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Sous l’ancien et le nouveau droit, un délai d’un mois pour l’exécution forcée a été jugé admissible (CREC 17 septembre 2013/3 14 c.3b; CREC 8 mai 2013/149 c. 3d; CREC 15 janvier 2013/10 c, 3d; Guignard, in Procédure spéciales vaudoises, 2008, n. 3 ad art. 21 aLPEBL [loi du 18 mai 1955 sur la procédure d’expulsion en matière de baux à loyer et à ferme, abrogée au 1 er janvier 2011], p. 203). c) En l’espèce, les recourants ne soutiennent pas, à juste titre, que des faits postérieurs à l’ordonnance ont éteint ou provoqué le sursis de leur obligation de restituer les locaux en cause, ni que l’intimé aurait renoncé à l’exécution forcée. Par ailleurs, l’ordonnance du 13 janvier 2014 validant la résiliation du bail et ordonnant le départ est aujourd’hui définitive, les recours successifs interjetés à son encontre ayant été rejetés. Les recourants ne peuvent donc, dans le cadre du présent recours, revenir sur le fond du litige et remettre en cause le caractère exécutoire de cette décision, notamment en faisant valoir que les loyers seraient aujourd’hui payés à temps ou que leurs intérêts auraient mal été pris en compte. Le départ fixé initialement au 28 février 2014 a été reporté au 4 juillet 2014 en raison des recours cantonal et fédéral interjetés. L’expulsion a été fixée au 29 juillet par avis du 11 juillet 2014, mais l’intimé a requis et obtenu qu’elle soit reportée au 16 septembre 2014. Il résulte de cette chronologie que les recourants ont disposé et disposeront matériellement d’un délai amplement suffisant pour organiser et exécuter l’évacuation des locaux. En outre, les arguments invoqués par les recourants n’ont pas de portée humanitaire, s’agissant d’occupation de locaux commerciaux, mais uniquement une portée économique. L’examen de leur situation ne démontre toutefois pas de circonstances si particulières que l’expulsion avant la fin de l’année serait disproportionnée et imposerait l’octroi d’un sursis, étant précisé que la recherche d’un arrangement avec l’intimé pour que celui-ci octroie un tel sursis n’entre pas dans la compétence de la Cour de céans, ni du juge de l’exécution. Le principe de proportionnalité a donc été respecté dans le cadre de la procédure d’exécution. Le grief des recourants doit dès lors être rejeté.</w:t>
      </w:r>
    </w:p>
    <w:p>
      <w:r>
        <w:rPr>
          <w:b/>
        </w:rPr>
        <w:t>E. 4</w:t>
      </w:r>
    </w:p>
    <w:p>
      <w:r>
        <w:t>En définitive, le recours doit être rejeté en application de l’art. 322 al. 1 CPC et l’exécution forcée confirmée, sous réserve de la date d’exécution reportée au 16 septembre 2014, à 9 heures. Vu le rejet du recours, les frais judiciaires de deuxième instance, arrêtés à 100 fr. (art. 69 al. 1 et 70 al. 4 TFJC [tarif des frais judiciaires civils du 28 septembre 2010, RSV 270.11.5]), sont mis à la charge des recourants, solidairement entre eux, dès lors qu’ils succombent (art. 106 al. 1 CPC). L’intimé n’ayant pas été invité à se déterminer, il n’y a pas matière à l’allocation de dépens. Par ces motifs, la Chambre des recours civile du Tribunal cantonal, statuant à huis clos, en application de l'art. 322 al. 1 CPC, prononce : I. Le recours est rejeté. II. La décision est confirmée, sous réserve de la date d’exécution reportée au 16 septembre 2014 à 9 heures. III. Les frais judiciaires, arrêtés à 100 fr. (cent francs), sont mis à la charge des recourants E.________ et I.________ SA, solidairement entre eux. IV. L’arrêt motivé est exécutoire. Le président :               La greffière : Du</w:t>
      </w:r>
    </w:p>
    <w:p>
      <w:r>
        <w:rPr>
          <w:b/>
        </w:rPr>
        <w:t>E. 6</w:t>
      </w:r>
    </w:p>
    <w:p>
      <w:r>
        <w:t>août 2014 Le dispositif de l'arrêt qui précède est communiqué par écrit aux intéressés. La greffière : Du L'arrêt qui précède, dont la rédaction a été approuvée à huis clos, est notifié en expédition complète, par l'envoi de photocopies, à : - M. E.________, - I.________ SA, - M. Jean-Marc Schlaeppi, agent d’affaires breveté (pour F.________).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