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595 vom 4. August 2014</w:t>
      </w:r>
    </w:p>
    <w:p>
      <w:r>
        <w:t>VD Tribunal cantonal, 2014-08-04, FR</w:t>
      </w:r>
    </w:p>
    <w:p>
      <w:r>
        <w:rPr>
          <w:b/>
        </w:rPr>
        <w:t xml:space="preserve">Quelle: </w:t>
      </w:r>
      <w:r>
        <w:t>https://mcp.opencaselaw.ch/entscheid/vd_findinfo_HC___2014___595</w:t>
      </w:r>
    </w:p>
    <w:p>
      <w:r>
        <w:t>FR: VD_FINDINFO HC / 2014 / 595 du 4 août 2014</w:t>
      </w:r>
    </w:p>
    <w:p>
      <w:r>
        <w:t>IT: VD_FINDINFO HC / 2014 / 595 del 4 agosto 2014</w:t>
      </w:r>
    </w:p>
    <w:p>
      <w:pPr>
        <w:pStyle w:val="Heading2"/>
      </w:pPr>
      <w:r>
        <w:t>Regeste</w:t>
      </w:r>
    </w:p>
    <w:p>
      <w:r>
        <w:t>EXPULSION DE LOCATAIRE, CAS CLAIR, PROCÉDURE SOMMAIRE, SOMMATION | 257d CO</w:t>
      </w:r>
    </w:p>
    <w:p>
      <w:pPr>
        <w:pStyle w:val="Heading2"/>
      </w:pPr>
      <w:r>
        <w:t>Erwägungen</w:t>
      </w:r>
    </w:p>
    <w:p>
      <w:r>
        <w:rPr>
          <w:b/>
        </w:rPr>
        <w:t>E. 1</w:t>
      </w:r>
    </w:p>
    <w:p>
      <w:r>
        <w:t>CPC). Le délai est de dix jours si la décision a été rendue en application de la procédure sommaire (art. 314 al. 1 CPC). Tel est le cas en l’espèce, le premier juge ayant fait application de la procédure applicable aux cas clairs (art. 257 al. 1 CPC) Interjeté en temps utile par une partie qui y a un intérêt digne de protection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les pièces produites par l’appelante, postérieures à l’audience de jugement, sont recevables, si bien qu’elles seront prises en compte dans la mesure de leur utilité à l’examen de la cause.</w:t>
      </w:r>
    </w:p>
    <w:p>
      <w:r>
        <w:rPr>
          <w:b/>
        </w:rPr>
        <w:t>E. 3</w:t>
      </w:r>
    </w:p>
    <w:p>
      <w:r>
        <w:t>a) La recourante ne conteste pas qu’elle n’a pas payé le loyer du mois de septembre 2013, mais argue du fait que depuis lors, elle a réglé tous les loyers dans les délais, un système de versement permanent ayant été mis en place. Elle fait également état de sa situation difficile, tant professionnelle (chômage) que personnelle (santé physique, psychique…), et dit ne jamais avoir eu de problèmes avec les voisins. Elle estime enfin que le délai d’un mois accordé par la justice de paix pour quitter les locaux est extrêmement bref, compte tenu du marché actuel du logement.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les baux d’habitation ou de locaux commerciaux peuvent être résiliés moyennant un délai de congé minimum de trente jours pour la fin d’un mois. La jurisprudence a précisé que, lorsque le locataire n’avait pas réglé l’arriéré réclamé dans le délai comminatoire prévu par l’art. 257d CO, il était en demeure et devait subir les conséquences juridiques de l’alinéa 2 de cette disposition, à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[CdB] 3/97, pp. 65 ss, c. 2b, p. 68 ; TF 4C.74/2006 du 12 mai 2006 c. 3.2.1 ; TF 4A_252/2014 du 28 mai 2014 c. 4.2 ;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[loi du 18 mai 1955 sur la procédure d’expulsion en matière de baux à loyer et à ferme, abrogée au 1er janvier 2011], p. 196 et les références citées). Cette jurisprudence garde sa pertinence sous l’empire du CPC (CACI 27 mars 2014/160 et les références citées). c) En l’espèce, les arguments soulevés par l’appelante ne permettent pas d’admettre l’appel. En effet, celle-ci ne conteste pas que les conditions posées par l’art. 257 d CO étaient réalisées. Le bailleur était donc en droit de résilier le bail en cause avec effet au 31 décembre 2013 et de requérir l’expulsion de la locataire, indépendamment de sa situation professionnelle et personnelle, d’éventuels motifs humanitaires n’entrant pas en ligne de compte à ce stade. S’agissant du délai de résiliation des locaux, il est conforme à la jurisprudence susmentionnée et a été prolongé du fait de l’effet suspensif accordé à l’appel. Le premier juge devra ainsi fixer à l’appelante un nouveau délai de libération des locaux litigieux.</w:t>
      </w:r>
    </w:p>
    <w:p>
      <w:r>
        <w:rPr>
          <w:b/>
        </w:rPr>
        <w:t>E. 4</w:t>
      </w:r>
    </w:p>
    <w:p>
      <w:r>
        <w:t>Au vu de ce qui précède, l'appel doit être rejeté en application de l'art. 312 al. 1 CPC et l'ordonnance confirmée. Les frais judiciaires de deuxième instance, arrêtés à 100 fr. (art. 62 al. 3 et 69 al. 1 TFJC [tarif des frais judiciaires en matière civile du 28 septembre 2010; RSV 270.11.5]), sont mis à la charge de la recourante G.________,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