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593 vom 4. August 2014</w:t>
      </w:r>
    </w:p>
    <w:p>
      <w:r>
        <w:t>VD Tribunal cantonal, 2014-08-04, FR</w:t>
      </w:r>
    </w:p>
    <w:p>
      <w:r>
        <w:rPr>
          <w:b/>
        </w:rPr>
        <w:t xml:space="preserve">Quelle: </w:t>
      </w:r>
      <w:r>
        <w:t>https://mcp.opencaselaw.ch/entscheid/vd_findinfo_HC___2014___593</w:t>
      </w:r>
    </w:p>
    <w:p>
      <w:r>
        <w:t>FR: VD_FINDINFO HC / 2014 / 593 du 4 août 2014</w:t>
      </w:r>
    </w:p>
    <w:p>
      <w:r>
        <w:t>IT: VD_FINDINFO HC / 2014 / 593 del 4 agosto 2014</w:t>
      </w:r>
    </w:p>
    <w:p>
      <w:pPr>
        <w:pStyle w:val="Heading2"/>
      </w:pPr>
      <w:r>
        <w:t>Regeste</w:t>
      </w:r>
    </w:p>
    <w:p>
      <w:r>
        <w:t>MOTIVATION DE LA DEMANDE, DÉCISION D'IRRECEVABILITÉ, COMPÉTENCE, COMPÉTENCE IMPÉRATIVE | 113 LOJV, 311 al. 1 CPC (CH)</w:t>
      </w:r>
    </w:p>
    <w:p>
      <w:pPr>
        <w:pStyle w:val="Heading2"/>
      </w:pPr>
      <w:r>
        <w:t>Erwägungen</w:t>
      </w:r>
    </w:p>
    <w:p>
      <w:r>
        <w:rPr>
          <w:b/>
        </w:rPr>
        <w:t>E. 4</w:t>
      </w:r>
    </w:p>
    <w:p>
      <w:r>
        <w:t>Par acte du 21 juillet 2014, C.________ a fait appel de la décision précitée, en concluant à sa réforme en ce sens que la sculpture faisant l’objet de la procédure soit reconnue comme étant sa propriété et lui soit restituée.</w:t>
      </w:r>
    </w:p>
    <w:p>
      <w:r>
        <w:rPr>
          <w:b/>
        </w:rPr>
        <w:t>E. 5</w:t>
      </w:r>
    </w:p>
    <w:p>
      <w:r>
        <w:t>L’appel est recevable contre les décisions finales de première instance (art. 308 al. 1 let. a CPC [Code de procédure civile du 19 décembre 2008; RS 272]) au sens de l’art. 236 CPC, dans les causes patrimoniales dont la valeur litigieuse est de 10'000 fr. au moins (art. 308 al. 2 CPC). L’appel est introduit auprès de l’instance d’appel dans les trente jours à compter de la notification de la décision motivée ou de la notification postérieure de la motivation (art. 311 al. 1 CPC). La valeur du litige étant de 10’000 fr., la voie de l’appel est ouverte.</w:t>
      </w:r>
    </w:p>
    <w:p>
      <w:r>
        <w:rPr>
          <w:b/>
        </w:rPr>
        <w:t>E. 6</w:t>
      </w:r>
    </w:p>
    <w:p>
      <w:r>
        <w:t>Aux termes de l’art. 311 al. 1 CPC, l’appel doit être écrit et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4A_651/2012 du 7 février 2013 c. 4.2). En l’espèce, l’appelant se borne à plaider le fond de la cause, affirmant être propriétaire de la sculpture qu’il revendique. Cette motivation est sans pertinence, dès lors que le premier juge ne s’est pas prononcé sur le fond de la cause, mais qu’il a déclaré la demande irrecevable, pour défaut de compétence à raison de la valeur. L’appelant ne motive nullement les raisons pour lesquelles les considérations du premier juge sur ce point seraient erronées. Son appel est dès lors irrecevable. A supposer recevable, l’appel serait de toute manière infondé. La valeur litigieuse de l’action en revendication déposée par l’appelant étant de 10’000 fr., c’est à juste titre que le premier juge a considéré qu’il n’était pas compétent ratione valoris. En effet, le juge de paix ne connaît que des causes patrimoniales dont la valeur est inférieure à 10’000 fr. (art. 113 al. 1 bis LOJV [loi d’organisation judiciaire du 12 décembre 1979, RSV 173.01]). En outre, en droit vaudois, la compétence ratione valoris du juge de paix est impérative (art. 113 al. 1 bis , 2 e phrase LOJV), de sorte qu’une acceptation tacite de la compétence par l’intimée n’aurait pas été possible (JT 2013 III 112). C’est dès lors à juste titre que le premier juge s’est déclaré d’office incompétent (art. 60 CPC). Il appartiendra dès lors à l’appelant d’ouvrir action devant le président du Tribunal d’arrondissement (art. 96d al. 2 LOJV), la procédure de conciliation n’ayant pas lieu dans les actions en revendication au sens de l’art. 242 LP (loi fédérale sur la poursuite pour dettes et la faillite du 11 avril 1889, RS 281.1; art. 198 let. e ch. 5 CPC), étant précisé que, selon l’art. 63 al. 1 CPC,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w:t>
      </w:r>
    </w:p>
    <w:p>
      <w:r>
        <w:rPr>
          <w:b/>
        </w:rPr>
        <w:t>E. 7</w:t>
      </w:r>
    </w:p>
    <w:p>
      <w:r>
        <w:t>En définitive, l’appel doit être déclaré irrecevable, dans la procédure de l’art. 312 al. 1 CPC, et la décision entreprise confirmée. Le présent arrêt peut être rendu sans frais judiciaires (art. 10 TFJC [tarif des frais judiciaires civils,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