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592 vom 4. August 2014</w:t>
      </w:r>
    </w:p>
    <w:p>
      <w:r>
        <w:t>VD Tribunal cantonal, 2014-08-04, FR</w:t>
      </w:r>
    </w:p>
    <w:p>
      <w:r>
        <w:rPr>
          <w:b/>
        </w:rPr>
        <w:t xml:space="preserve">Quelle: </w:t>
      </w:r>
      <w:r>
        <w:t>https://mcp.opencaselaw.ch/entscheid/vd_findinfo_HC___2014___592</w:t>
      </w:r>
    </w:p>
    <w:p>
      <w:r>
        <w:t>FR: VD_FINDINFO HC / 2014 / 592 du 4 août 2014</w:t>
      </w:r>
    </w:p>
    <w:p>
      <w:r>
        <w:t>IT: VD_FINDINFO HC / 2014 / 592 del 4 agosto 2014</w:t>
      </w:r>
    </w:p>
    <w:p>
      <w:pPr>
        <w:pStyle w:val="Heading2"/>
      </w:pPr>
      <w:r>
        <w:t>Regeste</w:t>
      </w:r>
    </w:p>
    <w:p>
      <w:r>
        <w:t>MESURE DE CONTRAINTE{DROIT DES ÉTRANGERS}, REJET DE LA DEMANDE, DÉTENTION AUX FINS D'EXPULSION |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du 7 juillet 2014, ce magistrat a procédé à l'audition du recourant le lendemain, en présence d’un juriste du SPOP. Le recourant a été entendu et ses déclarations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4</w:t>
      </w:r>
    </w:p>
    <w:p>
      <w:r>
        <w:t>a) Le recourant invoque une violation de l’art. 78 al. 1 LEtr. Il soutient qu’on ne saurait exiger de lui qu’il obtempère à l’injonction de quitter la Suisse alors qu’il serait exposé dans son pays à une peine d’emprisonnement pour une infraction qu’il n’aurait pas commise. b) Aux termes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lI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lI 56 c. 3.1; ATF 125 Il 369 c. 3b/aa; ATF 122 lI 49, rés. in JT 1998 I 95). c) En l’espèce, la mise en détention en vue de renvoi du recourant est fondée sur l’art. 76 al. 1 let. b ch. 3 et 4 LEtr., dans la mesure où le recourant a démontré, par ses déclarations et par son comportement, qu’il n’avait aucune intention de collaborer à son départ. En effet, il est demeuré en Suisse bien qu’il ait été averti qu’il n’y était pas autorisé. Il a commis plusieurs infractions pénales ayant conduit à sa condamnation. Il est par ailleurs sans domicile fixe dans notre pays. Enfin, en cours de procédure, il a systématiquement déclaré aux autorités qu’il refusait catégoriquement de rentrer en Algérie. La menace d’emprisonnement en Algérie invoquée par le recourant a déjà été examinée dans le cadre de la procédure d’asile et n’a pas été tenue pour établie. Le recourant n’apporte à cet égard aucun élément qui permettrait de remettre en cause ce point de vue dans la procédure de renvoi. Mal fondé, le grief du recourant doit être rejeté.</w:t>
      </w:r>
    </w:p>
    <w:p>
      <w:r>
        <w:rPr>
          <w:b/>
        </w:rPr>
        <w:t>E. 5</w:t>
      </w:r>
    </w:p>
    <w:p>
      <w:r>
        <w:t>Le recourant ne prétend pas que sa détention serait illicite. On peut dès lors se dispenser d’examiner cette question en relevant, pour conclure, que le principe de proportionnalité est respecté, dès lors que le refoulement du recourant pourra manifestement être exécuté avant l’échéance du délai maximal de détention de dix-huit mois prévu par la loi. A cet égard, un vol à destination de l’Algérie a déjà été fixé au 22 septembre 2014, soit à satisfaction du devoir de diligence et de célérité. Le recours doit dès lors également être rejeté sur ce point.</w:t>
      </w:r>
    </w:p>
    <w:p>
      <w:r>
        <w:rPr>
          <w:b/>
        </w:rPr>
        <w:t>E. 6</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l’avocate Amandine Torrent a produit une liste d’opérations faisant état de cinq heures et trente minutes de travail ainsi que de débours à hauteur de 16 fr. 20. Compte tenu d’un tarif horaire de 180 fr. pour un avocat (par analogie art. 2 al. 1 let. a RAJ [règlement sur l’assistance judiciaire en matière civile du 7 décembre 2010, RSV 211.02.3]), l’indemnité doit être fixée à 1'086 fr. 70, soit 1'069 fr. 20 d’honoraires, TVA comprise, et 17 fr. 50 de débours, TVA comprise. Par ces motifs, la Chambre des recours civile du Tribunal cantonal, statuant à huis clos, prononce : I. Le recours est rejeté. II. L’ordonnance est confirmée. III. L’arrêt est rendu sans frais judiciaires. IV. L’indemnité de Me Amandine Torrent, conseil d’office du recourant, est arrêtée à 1'086 fr. 70 (mille huitante-six francs et septante centimes), débours et TVA compris. V. L’arrêt est exécutoire. Le président :               La greffière : Du L'arrêt qui précède, dont la rédaction a été approuvée à huis clos, est notifié à : ‑ Me Amandine Torrent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