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559 vom 13. Juni 2014</w:t>
      </w:r>
    </w:p>
    <w:p>
      <w:r>
        <w:t>VD Tribunal cantonal, 2014-06-13, FR</w:t>
      </w:r>
    </w:p>
    <w:p>
      <w:r>
        <w:rPr>
          <w:b/>
        </w:rPr>
        <w:t xml:space="preserve">Quelle: </w:t>
      </w:r>
      <w:r>
        <w:t>https://mcp.opencaselaw.ch/entscheid/vd_findinfo_HC___2014___559</w:t>
      </w:r>
    </w:p>
    <w:p>
      <w:r>
        <w:t>FR: VD_FINDINFO HC / 2014 / 559 du 13 juin 2014</w:t>
      </w:r>
    </w:p>
    <w:p>
      <w:r>
        <w:t>IT: VD_FINDINFO HC / 2014 / 559 del 13 giugno 2014</w:t>
      </w:r>
    </w:p>
    <w:p>
      <w:pPr>
        <w:pStyle w:val="Heading2"/>
      </w:pPr>
      <w:r>
        <w:t>Regeste</w:t>
      </w:r>
    </w:p>
    <w:p>
      <w:r>
        <w:t>DIRECTIVE{INJONCTION}, DÉBITEUR, MESURE PROVISIONNELLE, ENFANT NÉ HORS MARIAGE | 291 CC</w:t>
      </w:r>
    </w:p>
    <w:p>
      <w:pPr>
        <w:pStyle w:val="Heading2"/>
      </w:pPr>
      <w:r>
        <w:t>Erwägungen</w:t>
      </w:r>
    </w:p>
    <w:p>
      <w:r>
        <w:rPr>
          <w:b/>
        </w:rPr>
        <w:t>E. 1</w:t>
      </w:r>
    </w:p>
    <w:p>
      <w:r>
        <w:t>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références citées).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(JT 2011 III 44). En tant que l’appel porte sur l’avis donné au débiteur de verser la pension pour l’enfant mineur des parties, la maxime d’office et la maxime inquisitoire illimitée sont applicables (art. 296 al. 1 et 3 CPC ; Hohl, Procédure civile, Tome II, 2 ème éd., nn. 2098, 2099 et 2161). La pièce produite par l’appelant est donc susceptible d’être examinée par le juge.</w:t>
      </w:r>
    </w:p>
    <w:p>
      <w:r>
        <w:rPr>
          <w:b/>
        </w:rPr>
        <w:t>E. 3</w:t>
      </w:r>
    </w:p>
    <w:p>
      <w:r>
        <w:t>L’appelant conteste l’avis au débiteur prononcé par le premier juge.</w:t>
      </w:r>
    </w:p>
    <w:p>
      <w:r>
        <w:rPr>
          <w:b/>
        </w:rPr>
        <w:t>E. 3.1</w:t>
      </w:r>
    </w:p>
    <w:p>
      <w:r>
        <w:t>Lorsque les père et mère négligent de prendre soin de l’enfant, le juge peut prescrire à leurs débiteurs d’opérer tout ou partie de leurs paiements entre les mains du représentant légal de l’enfant. L'avis au débiteur fondé sur l’art. 291 CC constitue une mesure d'exécution forcée privilégiée sui generis, qui se trouve en lien étroit avec le droit civil et est de nature pécuniaire. Le jugement portant sur un tel avis aux débiteurs est en principe un jugement final sur le fond et non une mesure provisionnelle, à moins qu'il ne soit prononcé dans le cadre de mesures protectrices de l'union conjugale ou de mesures provisionnelles au sens des art. 137 aCC ou 177 CC (ATF 137 III 193 c. 1, JT 2012 II 147). L'avis au débiteur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 5.3 ; TF 5A_464/2012 du 30 novembre 2012 c. 5.3). Il doit y avoir lieu de craindre que de tels manquements se produisent également à l'avenir (CACI 16 août 2011/196 et réf.; Blätter für Zürcherische Rechtsprechung [ZR] 1955 no 99 p. 206; Hegnauer, Berner Kommentar, 1997, n. 9 ad art. 291 CC, p. 481). Il a été jugé que, dans la mesure où le débiteur a versé les contributions d’entretien avec un retard de trois à dix jours durant les mois de janvier à juillet 2012, le retard dans le paiement des contributions d’entretien ne peut être considéré comme isolé (TF 5A_771/2012 du 21 janvier 2013 c. 2.1, in La Pratique de la famille [FamPra.ch.] 2013 p. 491). L’absence de menaces formelles par le crédirentier découlant du retard dans le paiement ne constitue pas un motif empêchant d’ordonner un avis aux débiteurs (TF 5A_771/2012 du 21 janvier 2013   c. 2.1, in FamPra.ch. 2013 p. 491). L’art. 291 CC s’applique si le débiteur d’aliments ne verse pas, entièrement ou partiellement, les contributions auxquelles un jugement l’astreint. En tant que mesure d’exécution, l’avis au débiteur constate le montant énoncé dans le titre d’entretien ; le juge n’examine donc ni l’état de fait ni les considérations de droit des mesures protectrices ou du divorce. Ainsi, l’avis au débiteur facilite le recouvrement d’aliments. Il ne peut toutefois pas entamer le minimum vital du débirentier, de sorte que les principes applicables au respect du minimum vital en cas de saisie de salaire s’appliquent si la situation du débirentier s’est détériorée depuis l’entrée en force du jugement fixant l’entretien dû (Bastons Bulletti, Commentaire romand, n. 9 ad art. 291 CC ; TF 5A_223/2014 du 30 avril 2014 c. 2).</w:t>
      </w:r>
    </w:p>
    <w:p>
      <w:r>
        <w:rPr>
          <w:b/>
        </w:rPr>
        <w:t>E. 3.2</w:t>
      </w:r>
    </w:p>
    <w:p>
      <w:r>
        <w:t>L’appelant explique ne disposer d’aucune créance envers la société qu’il a créée, dès lors qu’aucun contrat ne règle la rétribution des gérants. L’appelant travaille comme indépendant dans le domaine de la restauration. Auparavant, il exploitait, en raison individuelle, le café-restaurant [...], à Lausanne. Depuis le 26 juin 2013, l’établissement est géré par Q.________ et ses deux filles aînées, qui ont constitué une société à responsabilité limitée dont la raison sociale est [...]. L’apport fait par l’appelant était constitué des actifs de sa raison individuelle, évalués à 41'985 fr. 85. Certes, l’appelant ne travaille pas comme employé de cette société, mais il en est le président et l’associé gérant avec signature individuelle. Il est clair qu’il s’acquitte de ses charges par le bénéfice tiré de l’exercice de sa société et qu’il prélève par conséquent chaque mois sur les recettes de son établissement le montant nécessaire à couvrir ses dépenses. En effet, l’intéressé a admis aux débats de première instance qu’il accomplissait des services pour le compte de son restaurant, que ses charges ne s’étaient pas modifiées depuis le dépôt de sa demande et qu’il ne bénéficiait pas d’autres ressources (revenu d’insertion ou  subsides). Sur la base de ces éléments, on doit admettre que l’appelant bénéficie bel et bien d’un montant mensuel versé par [...].</w:t>
      </w:r>
    </w:p>
    <w:p>
      <w:r>
        <w:rPr>
          <w:b/>
        </w:rPr>
        <w:t>E. 3.3</w:t>
      </w:r>
    </w:p>
    <w:p>
      <w:r>
        <w:t>L’appelant relève que ses prélèvements auprès de la société ne servent qu’à couvrir ses charges mensuelles incompressibles, à savoir son minimum vital. Certes, l’intéressé allègue une diminution de ses revenus et la non couverture de son minimum vital. Or, il ne le démontre d’aucune manière. Sa comptabilité fait état de certains frais qui pourraient être diminués, voire supprimés. Il en va ainsi d’un appartement sis dans l’immeuble qui abrite le restaurant, dans lequel l’appelant logerait un employé et dont le loyer (760 fr.) serait déduit de la fiche de salaire de celui-ci, et d’un second logement qui serait inoccupé, mais qui servirait à loger des serveurs venant travailler dans l’établissement ou serait destiné à l’usage de sa fille [...]. Dans un tel cas, le loyer devrait être déduit du salaire. Or, et l’appelant l’a reconnu, la fiche de salaire de [...], qui fait état d’un pécule d’apprentie de 936 fr. par mois, ne mentionne aucune retenue pour paiement d’un loyer qui, de toute manière, serait particulièrement élevé par rapport à de telles ressources. Dès lors, même en admettant qu’un employeur conserve un appartement pour un de ses employés, tout en prélevant le loyer sur son salaire, il est en revanche incompréhensible qu’il continue à louer un logement, en partie vide, sans que cela ne relève d’aucune nécessité professionnelle. L’appelant pourrait ainsi se départir du bail de ce second appartement et faire l’économie d’une dépense de 637 fr. par mois, laquelle suffirait à couvrir la contribution d’entretien convenue et dont le montant, s’agissant d’une procédure d’avis au débiteur, ne peut pas être revu par le juge. Au surplus, il ressort du commandement de payer de l’Office des poursuites de Lausanne-Ouest que l’appelant n’a jamais fait l’effort de verser une quelconque contribution d’entretien pour la période du 1 er septembre 2009 au 31 juillet 2010 et l’on ne saurait dans ces circonstances considérer qu’il s’agit d’une omission ponctuelle ou d’un retard isolé de paiement. Dès lors enfin que l’appelant a admis ne rien payer des pensions dues à sa fille et ne vouloir prendre aucun engagement vis-à-vis de celle-ci, il y a lieu de craindre que de tels manquements se reproduisent à l'avenir.</w:t>
      </w:r>
    </w:p>
    <w:p>
      <w:r>
        <w:rPr>
          <w:b/>
        </w:rPr>
        <w:t>E. 4</w:t>
      </w:r>
    </w:p>
    <w:p>
      <w:r>
        <w:t>En conclusion, l’appel doit être rejeté dans la procédure de l’art. 312 al. 1 CPC. Conformément à l’art. 117 CPC, le droit à l’assistance judiciaire suppose l’indigence du requérant et que sa cause ne paraît pas dénuée de succès. Pour les motifs évoqués ci-dessus, la requête d’assistance judiciaire doit être rejetée et les frais judiciaires de deuxième instance, arrêtés à 600 fr. (art. 65 al. 2 TFJC [tarif des frais judiciaires civils du 28 septembre 2010 ; RSV 270.11.5]) mis à la charge de l’appelant qui succombe (art. 106 al. 1 CPC). Dès lors que l’intimée n’a pas été invitée à se déterminer, il n’y a pas lieu de lui allouer des dépens de deuxième instance. Par ces motifs, la juge déléguée de la Cour d’appel civile du Tribunal cantonal, statuant à huis clos, en application de l'art. 312 al. 1 CPC, prononce : I. L’appel est rejeté. II. L’ordonnance est confirmée. III. La requête d’assistance judiciaire de l’appelant est rejetée. IV. Les frais judiciaires de deuxième instance, arrêtés à 600 fr. (six cents francs), sont mis à la charge de l’appelant Q.________. V. L’arrêt motivé est exécutoire. La juge déléguée : Le greffier : Du 13 juin 2014 Le dispositif de l'arrêt qui précède est communiqué par écrit aux intéressés. Le greffier : Du L'arrêt qui précède, dont la rédaction a été approuvée à huis clos, est notifié en expédition complète, par l'envoi de photocopies, à : ‑ Me Mélanie Freymond (pour Q.________), ‑ Me Claire Charton (pour T.________). La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