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549 vom 23. Juni 2014</w:t>
      </w:r>
    </w:p>
    <w:p>
      <w:r>
        <w:t>VD Tribunal cantonal, 2014-06-23, FR</w:t>
      </w:r>
    </w:p>
    <w:p>
      <w:r>
        <w:rPr>
          <w:b/>
        </w:rPr>
        <w:t xml:space="preserve">Quelle: </w:t>
      </w:r>
      <w:r>
        <w:t>https://mcp.opencaselaw.ch/entscheid/vd_findinfo_HC___2014___549</w:t>
      </w:r>
    </w:p>
    <w:p>
      <w:r>
        <w:t>FR: VD_FINDINFO HC / 2014 / 549 du 23 juin 2014</w:t>
      </w:r>
    </w:p>
    <w:p>
      <w:r>
        <w:t>IT: VD_FINDINFO HC / 2014 / 549 del 23 giugno 2014</w:t>
      </w:r>
    </w:p>
    <w:p>
      <w:pPr>
        <w:pStyle w:val="Heading2"/>
      </w:pPr>
      <w:r>
        <w:t>Regeste</w:t>
      </w:r>
    </w:p>
    <w:p>
      <w:r>
        <w:t>MODÉRATION, HONORAIRES, AVOCAT | 45 al. 1 LPAv, 51 LPAv</w:t>
      </w:r>
    </w:p>
    <w:p>
      <w:pPr>
        <w:pStyle w:val="Heading2"/>
      </w:pPr>
      <w:r>
        <w:t>Erwägungen</w:t>
      </w:r>
    </w:p>
    <w:p>
      <w:r>
        <w:rPr>
          <w:b/>
        </w:rPr>
        <w:t>E. 1</w:t>
      </w:r>
    </w:p>
    <w:p>
      <w:r>
        <w:t>Aux termes de l'art. 51 LPAv (loi du 24 septembre 2002 sur la profession d'avocat ; RSV 177.11), la décision de modération peut faire l'objet d'un recours, conformément à la loi du 12 septembre 1979 d'organisation judiciaire (LOJV ; RSV 173.01). Celui-ci doit être adressé à la Chambre des recours civile du Tribunal cantonal (art. 73 al. 2 LOJV). Toujours selon l'art. 51 LPAv, le délai de recours est de trente jours dès la notification de la décision et la procédure est fixée par la loi du 28 octobre 2008 sur la procédure administrative (LPA-VD ; RSV 173.36). Selon l'art. 79 al. 1 LPA-VD, applicable par renvoi de l'art. 99 LPA-VD, l'acte de recours doit être signé et indiquer les conclusions et motifs du recours (Jomini, Les honoraires et débours de l'avocat vaudois et leur modération, in JT 1982 III 2 ss, spéc. n. 4, p. 4). En l'espèce, le prononcé de modération a été reçu par les parties le 26 mars 2014. Interjeté en temps utile, motivé et signé par une partie qui a un intérêt digne de protection (art. 75 LPA-VD), le recours est recevable.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 JT 2003 III 67 c. 1d). En cas d'admission du recours, elle réforme la décision attaquée ou l'annule ; s'il y a lieu, elle renvoie l'affaire à l'autorité intimée (art. 90 LPA-VD, applicable par renvoi de l'art. 99 LPA-VD). En l’espèce, c’est à tort que le premier juge a mentionné, dans son état de fait, que l’affaire avait été portée devant le Tribunal fédéral (p. 7), sans autre explication. Il ressort en effet des pièces du dossier que le recourant a demandé à son conseil de vérifier qu’un recours au Tribunal fédéral était ouvert (cf. supra, let. C, ch. 11 et mémoire de recours, ch. 6, p. 3), mais que celui-ci a ensuite procédé seul, sans l’aide de son conseil. Cela n’a toutefois aucune incidence sur l’issue du litige, dès lors que Me J.________ n’a facturé aucune autre opération relative au recours devant le Tribunal fédéral, ce que le recourant ne prétend par ailleurs pas.</w:t>
      </w:r>
    </w:p>
    <w:p>
      <w:r>
        <w:rPr>
          <w:b/>
        </w:rPr>
        <w:t>E. 3</w:t>
      </w:r>
    </w:p>
    <w:p>
      <w:r>
        <w:t>Est en l’occurrence seul litigieux le montant de la note d’honoraires du 13 juillet 2013 pour les opérations effectuées du 4 novembre 2008 au 24 juin 2010. Le grief du recourant en ce qui concerne une éventuelle violation du secret professionnel par Me J.________ n’a dès lors pas lieu à examen dans le présent litige. a) Le recourant ne conteste pas le temps consacré aux deux conférences (1 h 20), à la rédaction de l’acte de recours au Tribunal cantonal (30 min), à la télécopie (10 min), aux douze lettres (2 h) et aux trois téléphones (18 min). En revanche, il fait valoir que les 3 h 35 de travail consacrées à l’étude du dossier, aux recherches juridiques et à l’examen de l’arrêt de la Chambre des recours sont trop élevées, dès lors qu’il avait expressément donné pour instruction à son conseil de s’abstenir de tout travail complémentaire en date du 12 octobre 2009. b) Selon l'art. 45 al. 1 LPAv, l’avocat a droit à des honoraires fixés en tenant compte du temps consacré à l’exécution du mandat, des difficultés et des délais d’exécution de celui-ci, de l’importance des intérêts en cause, du résultat obtenu et de son expérience.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 JT 2003 III 67 c. 1e p. 69 ; TF 4P_342/2006 du</w:t>
      </w:r>
    </w:p>
    <w:p>
      <w:r>
        <w:rPr>
          <w:b/>
        </w:rPr>
        <w:t>E. 5</w:t>
      </w:r>
    </w:p>
    <w:p>
      <w:r>
        <w:t>mars 2007 c. 4.1 et les arrêts cités). Lorsque les honoraires du mandataire, notamment de l’avocat, sont calculés sur la base d’un tarif horaire, celui-ci supporte le fardeau de la preuve pour le temps consacré à l’exécution du mandat (Fellmann, Berner Kommentar, 1992, nn. 424 et 440 ad art. 394 CO, pp. 190 et 193).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 Bohnet/Martenet, Droit de la profession d'avocat, 2009, n. 2961, pp. 1169-1170).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Chambre des recours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c) En l’espèce, il est constant que le recourant a demandé à son conseil de s’abstenir « de tout travail complémentaire » en date du 12 octobre 2009. Celui-ci omet toutefois de préciser que, dans ce même courrier, il lui demandait également de relire son projet de recours (de huit pages) du 17 décembre 2008, de déposer un « simple acte de recours » et de solliciter un délai suffisant pour le motiver. Me J.________ s’est exécuté et c’est ce qui l’a conduit à proposer à son mandant, le 16 octobre 2009, la modification et la suppression de quelques conclusions du projet de mémoire – afin de se conformer à sa plaidoirie de l’audience de jugement et au vu du peu de chances de succès de certaines d’entre elles – sans que le recourant ne trouve rien à y redire. Celui-ci a ensuite soumis deux autres projets de mémoire à son conseil, l’entrevue des parties du 24 novembre 2009 ayant eu lieu entre-deux. Après réception du jugement motivé de la Chambre des recours et, comme réclamé par son mandataire le 9 février 2010, Me J.________ a fait des recherches juridiques en ce qui concernait la recevabilité d’un recours devant le Tribunal fédéral, s’est renseigné sur les noms des juges du Tribunal cantonal, la composition des différentes cours du Tribunal fédéral et a produit une copie de plusieurs lois de procédure. Le terme « avis de droit » utilisé par le premier juge concernant les recherches sur la recevabilité d’un recours au Tribunal fédéral est certes inapproprié, mais ne change rien au fait que Me J.________ a dû y consacrer le travail nécessaire. Nonobstant son instruction du 12 octobre 2009, force est de constater que le recourant a lui-même sollicité ultérieurement plusieurs opérations de la part de son conseil, dont la réalité est prouvée. Cela étant, les 3 h 35 de travail annoncées n’apparaissent pas excessives au vu des opérations effectuées (étude du dossier, recherches juridiques et examen de l’arrêt de la Chambre des recours), de sorte qu’il y a lieu de confirmer l’appréciation du premier juge selon laquelle le temps consacré par Me J.________ à l’exécution de son mandat ne semble pas disproportionné aux services rendus. 4. Il s’ensuit que le recours doit être rejeté dans la procédure de l’art. 322 al. 1 CPC et la décision entreprise confirmée. Les frais judiciaires de deuxième instance sont arrêtés à 150 fr. (art. 75 TFJC [tarif des frais judiciaires civils du 28 septembre 2010 ; RSV 270.11.5]) et mis à la charge du recourant, qui succombe (art. 106 al. 1 CPC). Il n’est pas alloué de dépens. Par ces motifs, la Chambre des recours civile du Tribunal cantonal, statuant à huis clos, en application de l'art. 322 al. 1 CPC, prononce : I. Le recours est rejeté. II. Le prononcé est confirmé. III. Les frais judiciaires de deuxième instance, arrêtés à 150 fr. (cent cinquante francs), sont mis à la charge du recourant K.________. IV. L'arrêt motivé est exécutoire. Le président :               La greffière : Du 24 juin 2014 Le dispositif de l'arrêt qui précède est communiqué par écrit aux intéressés. La greffière : Du L'arrêt qui précède, dont la rédaction a été approuvée à huis clos, est notifié en expédition complète, par l'envoi de photocopies, à : ‑ M. K.________ ‑ Me J.________ La Chambre des recours civile considère que la valeur litigieuse est de 347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