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547 vom 17. Juli 2014</w:t>
      </w:r>
    </w:p>
    <w:p>
      <w:r>
        <w:t>VD Tribunal cantonal, 2014-07-17, FR</w:t>
      </w:r>
    </w:p>
    <w:p>
      <w:r>
        <w:rPr>
          <w:b/>
        </w:rPr>
        <w:t xml:space="preserve">Quelle: </w:t>
      </w:r>
      <w:r>
        <w:t>https://mcp.opencaselaw.ch/entscheid/vd_findinfo_HC___2014___547</w:t>
      </w:r>
    </w:p>
    <w:p>
      <w:r>
        <w:t>FR: VD_FINDINFO HC / 2014 / 547 du 17 juillet 2014</w:t>
      </w:r>
    </w:p>
    <w:p>
      <w:r>
        <w:t>IT: VD_FINDINFO HC / 2014 / 547 del 17 luglio 2014</w:t>
      </w:r>
    </w:p>
    <w:p>
      <w:pPr>
        <w:pStyle w:val="Heading2"/>
      </w:pPr>
      <w:r>
        <w:t>Regeste</w:t>
      </w:r>
    </w:p>
    <w:p>
      <w:r>
        <w:t>EXPULSION DE LOCATAIRE, EXÉCUTION FORCÉE | 341 al. 3 CPC (CH)</w:t>
      </w:r>
    </w:p>
    <w:p>
      <w:pPr>
        <w:pStyle w:val="Heading2"/>
      </w:pPr>
      <w:r>
        <w:t>Erwägungen</w:t>
      </w:r>
    </w:p>
    <w:p>
      <w:r>
        <w:rPr>
          <w:b/>
        </w:rPr>
        <w:t>E. 1</w:t>
      </w:r>
    </w:p>
    <w:p>
      <w:r>
        <w:t>L'appel n'est pas recevable contre les décisions du tribunal de l'exécution (art. 309 let. a CPC), qui peuvent donc faire l'objet d'un recours (art. 319 let. a CPC). L'exécution des décisions est régie par la procédure sommaire (art. 248 let. a CPC en lien avec l'art. 339 al. 2 CPC). Le recours, écrit et motivé, est par conséquent introduit auprès de l'instance de recours, soit en l'occurrence la Chambre des recours civile qui statue dans une composition à trois juges (JT 2011 III 44; CREC 21 mars 2011/11; CREC 18 avril 2011/35), dans les dix jours à compter de la notification de la décision motivée (art. 321 al. 1 et 2 CPC). Interjeté en temps utile par une partie qui y a intérêt (art. 59 al. 2 let. a CPC), dans les dix jours à compter de la notification de la décision motivée du 20 juin 2014, l’acte de recours du 25 juin 2014 est recevable à la forme.</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Commentaire de la LTF, Berne 2009, n. 19 ad art. 97 LTF). b) Selon l’art. 326 al.1 CPC, les conclusions, les allégations de faits et les preuves nouvelles sont irrecevables. En l’espèce, dans la mesure où les pièces produites par la recourante ne figurent pas déjà au dossier de première instance, elles sont irrecevables.</w:t>
      </w:r>
    </w:p>
    <w:p>
      <w:r>
        <w:rPr>
          <w:b/>
        </w:rPr>
        <w:t>E. 3</w:t>
      </w:r>
    </w:p>
    <w:p>
      <w:r>
        <w:t>a) La recourante se plaint d’une violation des règles essentielles de procédure. Elle fait valoir que son droit d’être entendu n’a pas été respecté à l’audience du 10 juin 2014 et que la Justice de paix ne lui a pas permis d’accéder, en date du 17 juin 2014, au procès-verbal ou au prononcé sous forme écrite. b) L'art. 29 al. 2 Cst. (Constitution fédérale du 18 avril 1999, RS 101) garantit le droit d'être entendu. La jurisprudence du Tribunal fédéral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187 c. 2.2; ATF 129 II 497 c. 2.2; ATF 126 I 15 c. 2a/aa). c) En l’espèce, aucun élément du dossier ne permet de retenir la violation du droit d’être entendu, dès lors que la recourante admet avoir participé à la procédure et que le procès-verbal du 10 juin 2014 fait état de ses déclarations. Il ressort par ailleurs du dossier que le procès-verbal du 10 juin 2014 a été communiqué à la recourante; la lettre du 20 juin 2014 qui lui a été adressée par la Juge de paix du district de Lausanne en fait expressément état et il appartenait à la recourante, à la réception de cette lettre, de signaler à la première juge, le cas échéant, qu’elle n’avait pas reçu le procès-verbal en question. Au demeurant, le prononcé, dans la mesure où il se fonde sur ce procès-verbal, en reproduit un résumé qui retient en substance que l’intimée A.________SA a conclu à l’exécution forcée de la transaction passée par les parties à l’audience du 31 octobre 2013 et demandé à ce que la date d’exécution soit fixée directement par le juge.</w:t>
      </w:r>
    </w:p>
    <w:p>
      <w:r>
        <w:rPr>
          <w:b/>
        </w:rPr>
        <w:t>E. 4</w:t>
      </w:r>
    </w:p>
    <w:p>
      <w:r>
        <w:t>a) En second lieu, la recourante fait valoir le comportement de la bailleresse à son égard et à l’égard de sa fille (harcèlement, insultes, etc.). Elle explique en particulier qu’en date du 30 août 2013, M. [...] et le concierge ont forcé la serrure du studio en son absence, ont pénétré dans celui-ci et ont contraint sa fille de 13 ans à les suivre dans un bar à proximité, dont elle est parvenue à s’enfuir en trompant leur vigilance. Dans ces circonstances, elle estime que l’engagement pris lors de l’audience du 31 octobre 2013 n’était pas objectif, puisqu’il faisait suite au harcèlement dont elle-même et sa fille ont été victimes. b) Selon l'art. 341 al. 1 CPC, le tribunal de l'exécution examine d'office le caractère exécutoire de la décision. L'alinéa 3 de cette disposition précise que la partie contre laquelle l'exécution est requise ne peut alléguer que des faits qui se sont produits après la notification de la décision à exécuter. Au stade de la procédure d'exécution, qui ne saurait être confondue avec une voie de remise en cause de la décision au fond, l'intimé ne peut revenir sur l'objet du litige puisque seul le jugement déploie autorité de chose jugée. En conséquence, seuls des faits survenus postérieurement au jour où le jugement a été rendu et faisant obstacle à son exécution peuvent être allégués par l'intimé. Il doit s'agir de faits dont la survenance a eu pour conséquence l'extinction de la prétention à exécuter, par exemple l'extinction de la dette, le sursis octroyé par le créancier ou encore la prescription ou la péremption de la prestation due, l'extinction et le sursis devant être prouvés par titre (art. 341 al. 3 CPC; Jeandin, CPC commenté, Bâle 2011, n. 16 ad art. 341 CPC). c) En l'occurrence, le moyen invoqué par la recourante n’est pas susceptible de remettre en question le prononcé d’exécution forcée qui se base sur la transaction  passée par les parties le 31 octobre 2013, prévoyant l’engagement de la recourante à quitter son logement au plus tard le 31 mars 2014, engagement qu’elle n’a pas tenu. Pour le surplus, la recourante n'invoque pas de faits postérieurs à la décision à exécuter, soit la convention signée le 31 octobre 2013. Par ailleurs, elle n'établit aucune des circonstances de l’art. 341 al. 3 CPC (extinction, sursis ou prescription de la prestation due), ni ne prouve par titre que l’intimée aurait renoncé à l’exécution forcée. A cet égard, la remise en question de la convention du 31 octobre 2013, qui aurait été conclue sous la contrainte, est irrecevable à ce stade de la procédure au vu des exigences de l’art. 341 al. 3 CPC. Il en est de même s’agissant des arriérés de loyers, qui, selon la recourante, auraient dû être réclamés par le bailleur au service social et non à elle-même, dès lors que c’est la convention conclue entre les parties qui fonde la décision entreprise.</w:t>
      </w:r>
    </w:p>
    <w:p>
      <w:r>
        <w:rPr>
          <w:b/>
        </w:rPr>
        <w:t>E. 5</w:t>
      </w:r>
    </w:p>
    <w:p>
      <w:r>
        <w:t>En définitive, le recours, mal fondé, doit être rejeté en application de l'art. 322 al. 1 CPC et la décision d'exécution forcée confirmée. Les frais judiciaires de deuxième instance sont arrêtés à 400 fr. (art. 69 al. 1 TFJC [tarif des frais judiciaires civils du 28 septembre 2010, RSV 270.11.5]) et mis à la charge de la recourante, qui succombe (art. 106 al. 1 CPC). Il n'y a pas lieu à l'allocation de dépens, dès lors que l'intimée n'a pas été invitée à se déterminer sur le recours. Par ces motifs, la Chambre des recours civile du Tribunal cantonal, statuant à huis clos, prononce : I. Le recours est rejeté. II. La décision est confirmée. III. Les frais judiciaires de deuxième instance, arrêtés à 400 fr. (quatre cents francs), sont mis à la charge de la recourante T.________. IV. L’arrêt est exécutoire. Le président :               La greffière : Du L'arrêt qui précède, dont la rédaction a été approuvée à huis clos, est notifié en expédition complète, par télécopie et par l'envoi de photocopies, à ‑ Mme T.________, ‑ A.________SA.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télécopie et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