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542 vom 2. Juni 2014</w:t>
      </w:r>
    </w:p>
    <w:p>
      <w:r>
        <w:t>VD Tribunal cantonal, 2014-06-02, FR</w:t>
      </w:r>
    </w:p>
    <w:p>
      <w:r>
        <w:rPr>
          <w:b/>
        </w:rPr>
        <w:t xml:space="preserve">Quelle: </w:t>
      </w:r>
      <w:r>
        <w:t>https://mcp.opencaselaw.ch/entscheid/vd_findinfo_HC___2014___542</w:t>
      </w:r>
    </w:p>
    <w:p>
      <w:r>
        <w:t>FR: VD_FINDINFO HC / 2014 / 542 du 2 juin 2014</w:t>
      </w:r>
    </w:p>
    <w:p>
      <w:r>
        <w:t>IT: VD_FINDINFO HC / 2014 / 542 del 2 giugno 2014</w:t>
      </w:r>
    </w:p>
    <w:p>
      <w:pPr>
        <w:pStyle w:val="Heading2"/>
      </w:pPr>
      <w:r>
        <w:t>Regeste</w:t>
      </w:r>
    </w:p>
    <w:p>
      <w:r>
        <w:t>DÉPENS, ACTION EN PAIEMENT D'ENTRETIEN | 3 TDC</w:t>
      </w:r>
    </w:p>
    <w:p>
      <w:pPr>
        <w:pStyle w:val="Heading2"/>
      </w:pPr>
      <w:r>
        <w:t>Erwägungen</w:t>
      </w:r>
    </w:p>
    <w:p>
      <w:r>
        <w:rPr>
          <w:b/>
        </w:rPr>
        <w:t>E. 1</w:t>
      </w:r>
    </w:p>
    <w:p>
      <w:r>
        <w:t>L’art. 110 CPC (Code de procédure civile du 19 décembre 2010; RS 272) ouvre la voie du recours de l’art. 319 let. b ch. 1 CPC contre les décisions sur les frais, à savoir les frais judiciaires et les dépens (art. 95 CPC). S’agissant d’une décision rendue en procédure simplifiée, le délai de recours est de trente jours (art. 321 al. 1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lI,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heures pour la rédaction de divers courriers, téléphones et autres opérations. Le premier juge a ainsi considéré qu’il convenait de limiter les opérations à un total de 11h45 de travail. Toutefois, il a ensuite alloué une indemnité à hauteur de 3h30 à Me Z.________ au tarif horaire de 350 fr., et « un solde » de 11,25 heures correspondant au travail de sa stagiaire Me [...] au taux réduit de 275 francs. Or, selon le calcul du premier juge, seules 8,25 heures auraient dû être allouées à Me [...] (11h45 - 3h30), et non pas un « solde » de 11,25 heures. Cela étant, et malgré cette erreur de calcul, il faut considérer que le montant total alloué, soit 3h30 s’agissant des opérations de Me Z.________ et 11,25 heures s’agissant des opérations de Me [...], n’est pas excessif pour une affaire de ce type, qui s’est déroulée sur une durée de presque deux ans et dans laquelle l’élaboration de plusieurs actes de procédure et conventions a nécessairement entraîné un temps de travail long, comprenant notamment des entretiens avec la cliente et la partie adverse. Le montant final des dépens retenu par le premier juge ne paraît dès lors pas arbitraire. Par conséquent, il convient de considérer que le premier juge a fait une correcte application de la marge d’appréciation qui est prévue par le TDC. Le grief du recourant est dès lors infondé.</w:t>
      </w:r>
    </w:p>
    <w:p>
      <w:r>
        <w:rPr>
          <w:b/>
        </w:rPr>
        <w:t>E. 4</w:t>
      </w:r>
    </w:p>
    <w:p>
      <w:r>
        <w:t>Au vu de ce qui précède, le recours, manifestement infondé, doit être rejeté en application de l’art. 322 al. 1 CPC et la décision entreprise confirmée. Les frais judiciaires de deuxième instance, arrêtés à 100 fr. (art 69 al 1 et 70 al 3 TFJC (tarif des frais judiciaires en matière civile du 28 septembre 2010; RSV 270.11.5), sont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T.________. IV. L’arrêt motivé est exécutoire. Le président :               La greffière : Du 2 juin 2014 Le dispositif de l'arrêt qui précède est communiqué par écrit aux intéressés. La greffière : Du L'arrêt qui précède, dont la rédaction a été approuvée à huis clos, est notifié en expédition complète, par l'envoi de photocopies, à : ‑ M. T.________, ‑ Me Z.________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