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 vom 15. Januar 2014</w:t>
      </w:r>
    </w:p>
    <w:p>
      <w:r>
        <w:t>VD Tribunal cantonal, 2014-01-15, FR</w:t>
      </w:r>
    </w:p>
    <w:p>
      <w:r>
        <w:rPr>
          <w:b/>
        </w:rPr>
        <w:t xml:space="preserve">Quelle: </w:t>
      </w:r>
      <w:r>
        <w:t>https://mcp.opencaselaw.ch/entscheid/vd_findinfo_HC___2014___54</w:t>
      </w:r>
    </w:p>
    <w:p>
      <w:r>
        <w:t>FR: VD_FINDINFO HC / 2014 / 54 du 15 janvier 2014</w:t>
      </w:r>
    </w:p>
    <w:p>
      <w:r>
        <w:t>IT: VD_FINDINFO HC / 2014 / 54 del 15 gennaio 2014</w:t>
      </w:r>
    </w:p>
    <w:p>
      <w:pPr>
        <w:pStyle w:val="Heading2"/>
      </w:pPr>
      <w:r>
        <w:t>Regeste</w:t>
      </w:r>
    </w:p>
    <w:p>
      <w:r>
        <w:t>PROCÉDURE DE CONCILIATION | 206 al. 1 CPC (CH), 319 let. a CPC (CH)</w:t>
      </w:r>
    </w:p>
    <w:p>
      <w:pPr>
        <w:pStyle w:val="Heading2"/>
      </w:pPr>
      <w:r>
        <w:t>Erwägungen</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Aux termes de l'art. 206 al. 1 CPC, en cas de défaut du demandeur à l’audience de conciliation, la requête est considérée comme retirée; la procédure devient sans objet et l'affaire est rayée du rôle. Le demandeur est défaillant au sens de cette disposition lorsqu'il n'est pas présent à l'audience ni valablement représenté aux conditions de l'art. 204 al. 3 CPC (Bohnet, CPC commenté, n. 9 ad art. 206 CPC). En l’espèce, l’audience de conciliation a été fixée au 25 octobre 2013 le 10 septembre 2013 . Le 2 octobre 2013, le recourant a annoncé qu’il ne pourrait pas s’y présenter, en raison de son absence à l’étranger à la date fixée, et la juge de paix l’a invité, le 7 octobre 2013, à lui faire parvenir, dans un délai échéant le 16 octobre 2013, toute pièce propre à démontrer qu’il serait indisponible à la date de l’audience, en attirant son attention sur le fait qu’en cas de défaut de sa part à l’audience de conciliation, sa requête serait considérée comme retirée et la cause rayée du rôle. En produisant les justificatifs requis par lettre remise à la poste le 29 octobre 2013, le recourant a formé implicitement une requête tendant à la fixation d’une nouvelle audience. Une telle requête devait être rejetée dès lors que son auteur n’établissait pas que son défaut ne lui était pas imputable ou qu’il n’était imputable qu’à une faute légère au sens de l’art. 148 al. 1 CPC, puisqu’il lui aurait suffi de produire lesdits justificatifs dans le délai qui lui avait été imparti à cet effet. C’est donc à juste titre que le premier juge a appliqué l’art. 206 al. 1 CPC, selon lequel, en cas de défaut du demandeur à l’audience de conciliation, la requête est considérée comme retirée. A cela s’ajoute que, comme exposé par le premier juge, compte tenu du domicile des parties, le for est dans le district de la Broye-Vully et non à Lausanne.</w:t>
      </w:r>
    </w:p>
    <w:p>
      <w:r>
        <w:rPr>
          <w:b/>
        </w:rPr>
        <w:t>E. 4</w:t>
      </w:r>
    </w:p>
    <w:p>
      <w:r>
        <w:t>Il s’ensuit que le recours doit être rejeté. Les frais judiciaires de deuxième instance, arrêtés à 100 fr. (art. 69 al. 1 TFJC [tarif des frais judiciaires civils du 28 septembre 2010 ; RSV 270.11.5]), sont mis à la charge du recourant, qui succombe (art. 106 al. 1 CPC). Il n’y a pas matière à l’allocation de dépens de deuxième instance, dès lors que l’intimé n’a pas été invité à se déterminer.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E.________. IV. L’arrêt motivé est exécutoire. Le président :               Le greffier : Du 15 janvier 2014 Le dispositif de l'arrêt qui précède est communiqué par écrit aux intéressés. Le greffier : Du L'arrêt qui précède, dont la rédaction a été approuvée à huis clos, est notifié en expédition complète, par l'envoi de photocopies, à : ‑ M. E.________, ‑ M. S.________. La Chambre des recours civile considère que la valeur litigieuse est de 620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