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539 vom 23. Juni 2014</w:t>
      </w:r>
    </w:p>
    <w:p>
      <w:r>
        <w:t>VD Tribunal cantonal, 2014-06-23, FR</w:t>
      </w:r>
    </w:p>
    <w:p>
      <w:r>
        <w:rPr>
          <w:b/>
        </w:rPr>
        <w:t xml:space="preserve">Quelle: </w:t>
      </w:r>
      <w:r>
        <w:t>https://mcp.opencaselaw.ch/entscheid/vd_findinfo_HC___2014___539</w:t>
      </w:r>
    </w:p>
    <w:p>
      <w:r>
        <w:t>FR: VD_FINDINFO HC / 2014 / 539 du 23 juin 2014</w:t>
      </w:r>
    </w:p>
    <w:p>
      <w:r>
        <w:t>IT: VD_FINDINFO HC / 2014 / 539 del 23 giugno 2014</w:t>
      </w:r>
    </w:p>
    <w:p>
      <w:pPr>
        <w:pStyle w:val="Heading2"/>
      </w:pPr>
      <w:r>
        <w:t>Regeste</w:t>
      </w:r>
    </w:p>
    <w:p>
      <w:r>
        <w:t>INDEMNITÉ ÉQUITABLE | 122 al. 1 let. a CPC (CH), 2 al. 1 RAJ</w:t>
      </w:r>
    </w:p>
    <w:p>
      <w:pPr>
        <w:pStyle w:val="Heading2"/>
      </w:pPr>
      <w:r>
        <w:t>Erwägungen</w:t>
      </w:r>
    </w:p>
    <w:p>
      <w:r>
        <w:rPr>
          <w:b/>
        </w:rPr>
        <w:t>E. 5</w:t>
      </w:r>
    </w:p>
    <w:p>
      <w:r>
        <w:t>Le recourant invoque ensuite une constatation manifestement inexacte des faits. Sans réfuter le motif tiré d’une comptabilisation à double de certaines opérations, il reproche à l'autorité de première instance d'avoir abusé de son pouvoir d’appréciation en estimant de manière arbitraire qu’outre les 25,7 heures de travail consacrées par l’avocat, un nombre de 55 heures suffisaient à l’accomplissement du mandat de l’avocate stagiaire. Il fait valoir que la cause était complexe en fait eu égard à la situation de la partie adverse, à la présence de plusieurs interlocuteurs et que son activité a permis la conclusion d’une convention mettant fin au litige. Au grief selon lequel il a prodigué un soutien moral plutôt que des prestations d’avocat, il répond que cela n’est pas gratifiant pour lui, ce d’autant moins qu’il a obtenu un résultat positif dans la procédure. 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L’avocat d’office a droit au remboursement intégral de ses débours s’inscrivant dans le cadre de l’accomplissement normal de sa tâche, plus à une indemnité s’apparentant aux honoraires d’un avocat de choix, mais qui peut être inférieure à ces honoraires (ATF 122 I 1 c. 3a ; ATF 117 la 22 c. 4a ; TF 6B_745/2009 du 12 novembre 2009 c. 10.1 ; Tappy, op. cit., n. 8 ad art. 122 CPC).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122 I 1 c. 3a ; ATF 109 la 107 c. 3 ; ATF 117 la 22 c. 3a ; TF 6B_745/2009 du 12 novembre 2009 c. 10.1 ; TF 6B_273/2009 du 2 juillet 2009 c. 2.1 ). Dans le canton de Vaud, l’art. 2 al. 1 RAJ (règlement sur l’assistance judiciaire en matière civile du 7 décembre 2010;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(Donzallaz, Loi sur le Tribunal fédéral, Commentaire, Berne 2008, n. 1775 ad art. 64 LTF; ATF 122 l 1 c. 3a). Elle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 ; ATF 117 la 22 c. 3a ; TF 6B_745/2009 du 12 novembre 2009 c. 10.1 ; TF 6B_273/2009 du 2 juillet 2009 c. 2.1 ; TF 6B_102/2009 du 14 avril 2009 c. 2 ; TF 6B_960/2008 du 22 janvier 2009 c. 1.1 ; TF 6B_947/2008 du 16 janvier 2009 c. 2).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relevant de l’aide sociale (CREC 8 août 2011/22). b) En l’espèce, l’avocate stagiaire a, outre des conférences, courriers et téléphones, établi un bordereau de pièces et une liste de témoins, rédigé une réponse, assisté l’audition des enfants, participé à deux audiences de mesures provisionnelles, à une audience de premières plaidoiries et à l’audience de jugement au cours de laquelle les parties ont confirmé le contenu de la convention qu’elles avaient passée. Il y a lieu de relever que, comme l’admet le recourant lui-même, c’est la partie adverse qui a rédigé des requêtes de mesures provisionnelles (recours, p. 5) et que la procédure écrite n’a pris aucune ampleur. Dans le cadre de ce procès en modification de jugement de divorce engagé par l’ex mari, la situation de fait était certes complexe, notamment en tant que la partie adverse aurait dissimulé son revenu ; elle ne correspondait toutefois pas à une situation extraordinaire dans ce genre d’affaires, de sorte que le premier juge a pu évaluer le temps nécessaire en référence à une situation habituelle. Comme il l’a relevé, il incombe à l’avocat d’office de se cantonner aux opérations nécessaires à l’accomplissement du mandat officiel, sans se muer en mandataire privé appelé à résoudre toutes les questions que lui soumet son mandant. Or, il apparaît qu’en consacrant du temps à une dizaine de conférences avec sa cliente d’office, la stagiaire du recourant est allée au-delà de ce qui était exigé d’elle; à tout le moins le recourant ne démontre-t-il pas que le nombre de ces entretiens étaient indispensable, ce d’autant moins qu’il déclare lui-même que certains entretiens ont pu avoir lieu par téléphone (recours, p. 7). Le premier juge a ainsi réduit les 74,4 heures déclarées par l’avocate stagiaire à 55 heures. Comme déjà relevé ci-dessus (c. 4b), il a considéré que le temps globalement annoncé, à savoir plus de 100 heures (25,7 heures d’avocat + 74,4 heures de stagiaire) était excessif, que certaines opérations avaient été comptabilisées tant pour l’avocat que pour l’avocate stagiaire et enfin que certaines opérations relevaient davantage du soutien moral que du travail d’avocat. Cela étant, et en l’absence d’indications particulières, on ne voit pas, et le recourant ne le démontre pas, qu’en retenant une durée de 55 heures pour l’activité de l’avocate stagiaire, à savoir environ sept jours de travail, le premier juge aurait abusé de son pouvoir d’appréciation. Ce moyen doit également être rejeté.</w:t>
      </w:r>
    </w:p>
    <w:p>
      <w:r>
        <w:rPr>
          <w:b/>
        </w:rPr>
        <w:t>E. 6</w:t>
      </w:r>
    </w:p>
    <w:p>
      <w:r>
        <w:t>Au vu de ce qui précède, le recours doit être rejeté et la décision entreprise confirmée. Les frais judiciaires de deuxième instance, arrêtés à 200 fr. (art. 69 al. 3 TFJC [tarif des frais judiciaires civils du 28 septembre 2010; RSV 170.11.5]), sont mis à la charge du recourant qui succombe. Par ces motifs, la Chambre des recours civile du Tribunal cantonal, statuant à huis clos, prononce : I. Le recours est rejeté. II. Le jugement est confirmé. III. Les frais judiciaires de deuxième instance, arrêtés à 200 fr. (deux cents francs), sont mis à la charge du recourant K.________. IV. L’arrêt motivé est exécutoire Le président :               La greffière : Du 24 juin 2014 Le dispositif de l'arrêt qui précède est communiqué par écrit aux intéressés. La greffière : Du L'arrêt qui précède, dont la rédaction a été approuvée à huis clos, est notifié en expédition complète, par l'envoi de photocopies, à : ‑ Me K.________. La Chambre des recours civile considère que la valeur litigieuse est de 2’151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