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537 vom 16. Juni 2014</w:t>
      </w:r>
    </w:p>
    <w:p>
      <w:r>
        <w:t>VD Tribunal cantonal, 2014-06-16, FR</w:t>
      </w:r>
    </w:p>
    <w:p>
      <w:r>
        <w:rPr>
          <w:b/>
        </w:rPr>
        <w:t xml:space="preserve">Quelle: </w:t>
      </w:r>
      <w:r>
        <w:t>https://mcp.opencaselaw.ch/entscheid/vd_findinfo_HC___2014___537</w:t>
      </w:r>
    </w:p>
    <w:p>
      <w:r>
        <w:t>FR: VD_FINDINFO HC / 2014 / 537 du 16 juin 2014</w:t>
      </w:r>
    </w:p>
    <w:p>
      <w:r>
        <w:t>IT: VD_FINDINFO HC / 2014 / 537 del 16 giugno 2014</w:t>
      </w:r>
    </w:p>
    <w:p>
      <w:pPr>
        <w:pStyle w:val="Heading2"/>
      </w:pPr>
      <w:r>
        <w:t>Regeste</w:t>
      </w:r>
    </w:p>
    <w:p>
      <w:r>
        <w:t>VISITE, MESURE PROVISIONNELLE, RELATIONS PERSONNELLES, SUPPRESSION{EN GÉNÉRAL} | 273 CC, 274 al. 2 CC</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non patrimoniales.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et portant sur des conclusions non patrimoniales,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3</w:t>
      </w:r>
    </w:p>
    <w:p>
      <w:r>
        <w:t>a) L’appelant conteste le maintien de la suspension de son droit de visite, qu’il estime contraire à l’intérêt de [...]. Il fait valoir qu’en présence d’écrits discordants de l’enfant et d’allégations contestées de la part de l’intimée W.________, rien ne justifie le maintien de cette suspension, à laquelle il doit être mis un terme urgemment, sans attendre le dépôt du rapport d’expertise escompté depuis plusieurs mois. b) Aux termes de l’art. 273 al. 1 CC, le parent qui ne détient pas l’autorité parentale ou la garde ainsi que l’enfant mineur ont réciproquement le droit d’entretenir les relations personnelles indiquées par les circonstances. L’art. 274 al. 2 CC dispose que ce droit peut cependant être limité pour de justes motifs, notamment lorsque le développement corporel, psychique ou moral de l’enfant est compromis, même momentanément, par le comportement du parent avec lequel il est en communauté.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ATF 123 III 445 c. 3b; TF 5A_756/2013 du 9 janvier 2014 c. 5.1.2; TF 5A_716/2010 du 23 février 2011 c. 4 et réf., FamPra.ch 2011 p. 491). Le droit aux relations personnelles vise à sauvegarder le lien existant entre parents et enfants (Hegnauer, Droit suisse de la filiation et de la famille,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ATF 123 III 445 précité c. 3c).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Pour prendre une telle décision, le juge dispose d’un large pouvoir d’appréciation au sens de l’art. 4 CC et fait application du principe de proportionnalité (Chaix, Commentaire romand du Code civil, Bâle 2010, n. 20 ad art. 176 CC; TF 5A_826/2009 du 22 mars 2010 c. 2.1). L’importance à accorder à l’opinion de l’enfant concerné, lorsqu’il s’agit d’organiser des relations personnelles, dépend de l’âge de celui-ci (FamPra.ch 2009 p. 740 c. 5.1). c) En l’espèce, le droit de visite a été suspendu à titre préprovisionnel depuis le 16 mai 2013. A l’audience du 23 mai 2013, les parties ont convenu de mettre en œuvre le SUPEA pour procéder à une expertise pédosychiatrique. Ce service ayant refusé la mission, c’est finalement le Dr [...] qui a été désigné en qualité d’expert le 8 juillet 2013. On peut certes regretter le temps mis pour le dépôt de l’expertise, et comprendre les regrets et la souffrance de l’appelant. Force est cependant de constater que l’appelant est largement responsable du retard de l’expertise, puisque le Dr [...], malgré ses démarches visant à rencontrer l’appelant, est resté de nombreux mois sans nouvelles de ce dernier (cf. lettre du 30 septembre 2013). Ce n’est qu’à fin janvier 2014 que l’appelant a pris contact avec l’expert, celui-ci s’étant vu confirmer par lettre de la présidente du 31 janvier 2014 qu’il convenait qu’il rencontre l’appelant avant de rendre son rapport. Dans ces circonstances, l’appelant est malvenu de se plaindre du temps mis par l’expert pour déposer son rapport. Cela étant, il n’existe aucun élément nouveau justifiant, en l’état, de revenir sur la suspension préprovisionnelle, le seul écoulement du temps ne justifiant pas une révocation de la suspension. Les éléments qui ont donné lieu à la suspension préprovisionnelle, à savoir les événements survenus en mai 2013, la lettre du 15 mai 2013 de [...] – écrite de la main de cette dernière contrairement à la lettre du 6 avril 2013 produite par l’appelant –, nécessitent impérativement d’être éclaircis dans le cadre de l’expertise, qui devrait être à bout touchant, avant qu’il soit statué sur la reprise éventuelle d’un droit de visite. Dans l’intérêt de l’enfant, il n’y a ainsi pas lieu de précipiter les choses avant que l’expert ait pu se prononcer sur ces problématiques. Partant, le grief de l’appelant, mal fondé, doit être rejeté.</w:t>
      </w:r>
    </w:p>
    <w:p>
      <w:r>
        <w:rPr>
          <w:b/>
        </w:rPr>
        <w:t>E. 4</w:t>
      </w:r>
    </w:p>
    <w:p>
      <w:r>
        <w:t>En définitive, l'appel doit être rejeté selon le mode procédural de l'art. 312 al. 1 CPC et l’ordonnance entreprise confirmée. Dès lors que l’appel était d’emblée dépourvu de chances de succès, la demande d’assistance judiciaire présentée par l’appelant doit être rejetée (art. 117 let. b CPC; cf. juge délégué CACI 23 mars 2012/149). Compte tenu des circonstances, le présent arrêt peut être rendu sans frais (art. 10 TFJC [tarif des frais judiciaires civils du 28 septembre 2010; RSV 270.11.5]), ni dépens,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de l’appelant P.________ est rejetée. IV. L’arrêt est rendu sans frais. V. L’arrêt motivé est exécutoire. Le juge délégué : La greffière : Du 28 juin 2014 Le dispositif de l'arrêt qui précède est communiqué par écrit aux intéressés. La greffière : Du L'arrêt qui précède, dont la rédaction a été approuvée à huis clos, est notifié en expédition complète, par l'envoi de photocopies, à : ‑ Me Eric Muster (pour P.________), ‑ Me Violaine Jaccottet Sherif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