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536 vom 2. Juni 2014</w:t>
      </w:r>
    </w:p>
    <w:p>
      <w:r>
        <w:t>VD Tribunal cantonal, 2014-06-02, FR</w:t>
      </w:r>
    </w:p>
    <w:p>
      <w:r>
        <w:rPr>
          <w:b/>
        </w:rPr>
        <w:t xml:space="preserve">Quelle: </w:t>
      </w:r>
      <w:r>
        <w:t>https://mcp.opencaselaw.ch/entscheid/vd_findinfo_HC___2014___536</w:t>
      </w:r>
    </w:p>
    <w:p>
      <w:r>
        <w:t>FR: VD_FINDINFO HC / 2014 / 536 du 2 juin 2014</w:t>
      </w:r>
    </w:p>
    <w:p>
      <w:r>
        <w:t>IT: VD_FINDINFO HC / 2014 / 536 del 2 giugno 2014</w:t>
      </w:r>
    </w:p>
    <w:p>
      <w:pPr>
        <w:pStyle w:val="Heading2"/>
      </w:pPr>
      <w:r>
        <w:t>Regeste</w:t>
      </w:r>
    </w:p>
    <w:p>
      <w:r>
        <w:t>CONCLUSION DU CONTRAT, MANIFESTATION DE VOLONTÉ, ACCORD DE VOLONTÉS, VOLONTÉ RÉELLE, ACCEPTATION DE L'OFFRE | 1 CO, 18 al. 1 CO, 377 CO, 405 al. 1 CPC (CH)</w:t>
      </w:r>
    </w:p>
    <w:p>
      <w:pPr>
        <w:pStyle w:val="Heading2"/>
      </w:pPr>
      <w:r>
        <w:t>Erwägungen</w:t>
      </w:r>
    </w:p>
    <w:p>
      <w:r>
        <w:rPr>
          <w:b/>
        </w:rPr>
        <w:t>E. 1</w:t>
      </w:r>
    </w:p>
    <w:p>
      <w:r>
        <w:t>CPC.</w:t>
      </w:r>
    </w:p>
    <w:p>
      <w:r>
        <w:rPr>
          <w:b/>
        </w:rPr>
        <w:t>E. 2</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En l’espèce, l’acte adressé à la Cour de céans le 24 mars 2014, intitulé « recours », doit être traité comme un appel. Il a du reste été rédigé dans ce sens. Formé en temps utile par une partie qui y a un intérêt digne de protection (art. 59 al. 2 let. a CPC) et portant sur des conclusions supérieures à 10'000 fr., il est recevable.</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w:t>
      </w:r>
    </w:p>
    <w:p>
      <w:r>
        <w:rPr>
          <w:b/>
        </w:rPr>
        <w:t>E. 4</w:t>
      </w:r>
    </w:p>
    <w:p>
      <w:r>
        <w:t>A titre liminaire, on relèvera que les appelants ne se livrent pas à une critique des faits, mais retranscrivent leur propre version des frais, référence faite à plusieurs pièces, sans préciser en quoi les constatations retenues par les premiers juges seraient inexactes ou incomplètes. Dans cette mesure, leur appel est insuffisamment motivé et il y a lieu de s’en tenir à l’état de faits établi en première instance.</w:t>
      </w:r>
    </w:p>
    <w:p>
      <w:r>
        <w:rPr>
          <w:b/>
        </w:rPr>
        <w:t>E. 5</w:t>
      </w:r>
    </w:p>
    <w:p>
      <w:r>
        <w:t>a) Les appelants contestent avoir été liés par un contrat avec l’intimée. Pour eux, il n’y a jamais eu d’échange de volontés concordantes conformément à l’art. 1 CO (Code des obligations du 30 mars 1911 ; RS 220). Ils reprochent principalement aux premiers juges de ne pas s’être livrés à une interprétation de la volonté des parties au sens de l’art. 18 CO. b) 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(TF 4C.72/2006 du 30 mai 2006 c. 2 et les références citées). Le juge doit d’abord rechercher ce que les parties ont effectivement voulu « en fait » et compris, c’est-à-dire leur volonté réelle respective (art. 18 al. 1 CO). On parle d’interprétation subjective, car elle est déterminée par la volonté effective de la partie qui a fait la déclaration ; le plus souvent toutefois cette manifestation de volonté a donné lieu à une déclaration du destinataire, qui par exemple a accepté l’offre faite ; c’est alors la réelle et commune volonté des parties qui importe. Il s’agit là d’une question de fait. Ce n’est que si la volonté réelle ne peut être découverte ou qu’il y a divergence entre les parties sur cette volonté réelle que le juge doit déterminer de manière normative comment il convient de comprendre la manifestation de volonté. On parle alors d’interprétation objective (ou normative), car le juge procède indépendamment de la volonté réelle des parties, par application d’un critère juridique, soit le principe de la confiance, qui est une expression des règles de la bonne foi. En vertu de ce principe, les manifestations de volonté peuvent et doivent être comprises dans le sens que le destinataire pouvait et devait leur donner compte tenu de l’ensemble des circonstances. Il s’agit là d’une question de droit (Tercier, Pichonnaz, Le droit des obligations, 5 e éd., 2012, nn. 193 ss et les références citées). c) Aux termes de l’art. 4 al. 1 CO, lorsque l’offre, qui est une proposition ferme par laquelle une personne (le pollicitant) propose à une autre la conclusion d’un contrat de telle sorte que sa perfection ne dépend plus que de l’acceptation par l’autre partie (Tercier, op. cit., nn. 605 ss), a été faite à une personne présente, sans fixation d’un délai pour l’accepter, l’auteur de l’offre est délié si l’acceptation n’a pas lieu immédiatement. A contrario , il est lié si l’acceptation a lieu immédiatement. On relèvera que celui qui signe un écrit sans se soucier de son contenu doit, en règle générale, souffrir qu’il lui soit opposé (ATF 76 I 338, JT 1951 I 239).</w:t>
      </w:r>
    </w:p>
    <w:p>
      <w:r>
        <w:rPr>
          <w:b/>
        </w:rPr>
        <w:t>E. 6</w:t>
      </w:r>
    </w:p>
    <w:p>
      <w:r>
        <w:t>a) Ainsi, pour déterminer s’il y a eu effectivement accord entre les parties en l’espèce, il convient de rechercher tout d’abord leur réelle et commune intention, conformément à l’art. 18 al. 1 CO, le cas échéant empiriquement, sur la base d’indices (interprétation subjective). Il est possible de tenir compte de faits postérieurs en vue de reconstituer la volonté réelle au moment déterminant. Les circonstances survenues postérieurement à la conclusion du contrat, parmi lesquelles le comportement des parties, constituent, cas échéant, un indice de la volonté réelle des parties. En l’espèce, même si le premier juge a indiqué qu’il n’y avait pas lieu à interprétation de l’acte, il a retenu que la volonté réciproque et concordante des parties au jour de la signature était clairement établie, procédant ainsi à une interprétation subjective. Les appelants soutiennent, pour leur part, qu’ils n’auraient pas eu la volonté de conclure une commande ferme par leur signature apposée au bas du document. Il convient dès lors de se demander si, au regard des éléments à disposition, ils pouvaient penser qu’ils n’étaient pas liés par leur signature. On relèvera au préalable que le document signé par les appelants comporte des corrections manuscrites, lesquelles apportent des précisions sur certains points du descriptif, ainsi que des ajouts, en particulier en dernière page, qui amènent une correction du prix par rapport à celui apparaissant sur l’offre. Ce document est précis et détaillé et ne comporte pas de contradiction. Chaque article y est désigné par un numéro et une description détaillée, y compris les mentions manuscrites. Les appelants ne contestent pas avoir apposé leur signature sur l’offre du 3 septembre 2008. Le premier juge a en outre retenu (sans que les appelants reviennent sur ce point) qu’il n’avait pas été établi à satisfaction que lorsque les appelants ont signé le document certaines mentions faisaient défaut. Le document signé par les appelants ne saurait donc être qualifié d’incomplet, imprécis ou équivoque. On relèvera également que les appelants sont des commerçants rompus aux affaires. Ils ne pouvaient pas ignorer ce que signifie « Bon pour accord ». Aucune réserve n’était mentionnée dans le document. Ainsi, les appelants ne peuvent valablement soutenir que « la seule mention Bon pour accord sur l’offre ne permettait pas de retenir qu’un contrat a été valablement conclu entre les parties ». Il convient à présent d’examiner plus avant les griefs soulevés par les appelants. b/aa) Les appelants font tout d’abord valoir qu’ils n’allaient pas s’engager de manière ferme et définitive à l’achat d’une cuisine le 3 septembre 2008, lorsqu’ils se sont rendus à l’exposition de l’intimée, dès lors qu’ils n’avaient pas encore acquis leur appartement sis à [...] et qu’ils entendaient ainsi obtenir plusieurs offres à ce titre. En l’espèce, on ne voit pas en quoi le fait que le contrat de vente immobilière n’était pas encore signé établirait que les appelants « entendaient obtenir plusieurs offres, dont celle de l’intimée, avant de s’engager par la conclusion d’un contrat relatif à l’acquisition de leur cuisine ». Les appelants ont très bien pu avoir un coup de coeur pour la cuisine en question et avoir opté pour cette dernière, en prenant le risque de signer l’offre, sachant avec une quasi certitude qu’ils feraient, quelques jours plus tard, l’acquisition d’un nouvel appartement à équiper d’une nouvelle cuisine. Leur démarche s’inscrit bien plus dans l’optique de cet achat futur et d’une planification des prochains travaux à entreprendre. bb) Les appelants soutiennent également qu’ils n’auraient pas cherché à obtenir d’autres offres par d’autres fournisseurs de cuisines s’ils pensaient s’être engagés de manière ferme auprès de l’intimée. Il n’y a cependant rien à déduire du fait que les appelants se soient par la suite adressés à un autre cuisiniste pour demander une autre offre. Il n’est même pas établi à cet égard que les appelants se soient adressés à un tiers concurrent avant d’avoir renoncé à l’achat. cc) Les appelants font également valoir, à l’appui de leur appel, que l’absence de confirmation de commande démontre qu’aucun contrat n’a été conclu entre les parties. Ils se réfèrent par ailleurs à la formulation du courrier du 3 septembre 2008, joint à l’offre du même jour, qui viendrait confirmer que les appelants étaient en présence d’une offre sujette à confirmation de leur part. Enfin, ils soutiennent que les conditions de vente jointes à l’offre relèvent des conditions générales de l’intimée et qu’elles doivent être interprétées à l’encontre de celui qui les a rédigées, selon la jurisprudence du Tribunal fédéral en matière de clauses ambiguës. S’agissant de la formulation de la lettre du 3 septembre 2008, on ne saurait rien en déduire. En effet, dans la mesure où les appelants ont été satisfaits, au terme de l’entrevue, de la proposition de l’intimée et ont apposé leur signature au bas de l’offre, ils ont manifesté leur accord avec son contenu. Il n’y a pas lieu de retenir que la lettre en question a été rédigée après coup et qu’elle montre qu’aucun contrat n’a été valablement conclu entre les parties. Non seulement cela ne fait pas sens, mais en plus cet élément de fait est invoqué pour la première fois en appel et est donc irrecevable. Pour ce qui est de l’absence de confirmation de commande, l’offre mentionne en p. 7, laquelle ne comporte pas la signature des appelants, sous la mention « Meubles et appareils », ce qui suit: « 5 à 8 semaine (sic) dès retour de la confirmation de commande signée pour accord ». Le fait qu’aucune confirmation de commande n’ait été envoyée s’explique par le fait que les appelants ont renoncé par la suite à l’achat et qu’ainsi, il ne se justifiait plus d’aller de l’avant dans le processus de commande de la cuisine. Il n’y a pas lieu de déduire de l’absence de confirmation de commande et donc de signature apposée sur un tel document qu’il n’y a pas eu d’accord préalable des parties. Rien n’indique à l’appui de l’offre signée que sa validité était soumise à la signature d’une confirmation de commande. On voit bien à la lecture des déclarations du témoin [...] (« Cette confirmation par (sic) en commande dès son retour signé ») que la commande est lancée uniquement à la suite de la signature de la confirmation de commande. Ce document exerce ainsi un rôle dans le cadre de la commande de la cuisine par l’intimée, mais non pas au niveau de l’engagement contractuel entre les parties. L’indication figurant en p. 7 de l’offre et rappelée ci-dessus ne dit pas autre chose. La situation aurait été autre si l’offre n’avait pas été préalablement signée. Il n’y a dès lors rien à tirer d’une éventuelle pratique usuelle en la matière. Si les parties sont d’accord pour s’engager immédiatement, rien ne s’oppose à ce qu’elles signent immédiatement l’offre pour accord, manifestant par là leur volonté réciproque et concordante. C’est précisément ce qui s’est passé en l’espèce. Les appelants doivent assumer leurs actes, ce même s’ils ont agi dans la précipitation, dès lors qu’ils n’ont pas établi avoir été victimes d’un dol, voire d’une erreur essentielle – ce qu’ils ne plaident d’ailleurs pas en appel. Les appelants ont du reste, en cours de procédure, reconnu avoir fait une déclaration de volonté et avoir conclu un contrat, puisqu’ils se sont prévalus d’un dol. Ils ne sauraient dès lors s’en distancer en arguant du fait qu’ils n’ont signé aucune confirmation de commande. Enfin, l’argument des appelants lié aux clauses ambiguës est inconsistant. On ne saisit du reste pas bien sa portée dans le cas présent. Par ailleurs, la remise de l’offre, en version originale, n’est pas déterminante, dès lors qu’il ressort des faits que le cuisiniste avait pris soin d’en faire une photocopie avant de la remettre à ses cocontractants. Il en va de même s’agissant des déclarations de l’employé Z.________ qui semble avoir laissé ouvertes des discussions éventuelles sur un changement de hotte de ventilation, à la suite d’une proposition plus avantageuse prétendument obtenue par les appelants de la part d’un concurrent; il s’agit là d’un pur geste commercial qui intervenait dans le cadre de la relation contractuelle liant les parties. dd) Les appelants relèvent enfin que l’absence de demande de paiement d’un acompte de la part de l’intimée tendrait également à démontrer que les parties ne sont pas liées par un contrat. En l’espèce, le fait que l’intimée n’ait pas immédiatement réclamé l’acompte de 40%, dont le paiement était prévu lors de la commande, n’est d’aucun secours aux appelants, dès lors qu’il s’agit là d’une condition de paiement, sur laquelle l’intimée a une entière maîtrise. c) En définitive, force est de constater qu’il y a eu manifestation de volonté réciproque et concordante des parties portant sur l’offre n o [...] du 3 septembre 2008 de l’intimée, qui a été acceptée par les appelants. Sur ce point, le jugement de première instance doit être confirmé, les griefs des appelants étant infondés.</w:t>
      </w:r>
    </w:p>
    <w:p>
      <w:r>
        <w:rPr>
          <w:b/>
        </w:rPr>
        <w:t>E. 7</w:t>
      </w:r>
    </w:p>
    <w:p>
      <w:r>
        <w:t>Au regard de ce qui précède, il n’y a pas lieu de répondre à l’argumentation des appelants relative à la culpa in contrahendo , dans la mesure où cette forme de responsabilité précontractuelle ne peut entrer en ligne de compte qu’au stade des pourparlers et où, en l’espèce, un contrat a été valablement conclu entre les parties.</w:t>
      </w:r>
    </w:p>
    <w:p>
      <w:r>
        <w:rPr>
          <w:b/>
        </w:rPr>
        <w:t>E. 8</w:t>
      </w:r>
    </w:p>
    <w:p>
      <w:r>
        <w:t>Par surabondance, les appelants dénoncent une mauvaise application de l’art. 377 CO, selon lequel le maître peut toujours se départir du contrat, tant que l’ouvrage n’est pas terminé, en payant le travail fait et en indemnisant complètement l’entrepreneur. Ils prétendent qu’à supposer qu’une indemnité doive être reconnue à l’intimée, il y a lieu de la supprimer, subsidiairement de la réduire, compte tenu des circonstances particulières et de l’équité. Il conviendrait, le cas échéant, de réduire le montant de l’indemnité à celui proposé initialement par l’intimée, soit à 4’200 francs. L’argument des appelants est infondé. En effet, on ne voit pas ce qui justifierait en l’état une réduction ou une suppression de l’indemnité, ce d’autant qu’ils n’ont pas contesté les constatations de l’expertise [...] selon lesquelles la marge de la demanderesse s’élève à 20’054 fr. 43. Partant, le moyen des appelants doit être rejeté.</w:t>
      </w:r>
    </w:p>
    <w:p>
      <w:r>
        <w:rPr>
          <w:b/>
        </w:rPr>
        <w:t>E. 9</w:t>
      </w:r>
    </w:p>
    <w:p>
      <w:r>
        <w:t>a) Les appelants contestent l’allocation, par le premier juge, d’un montant de 8'809 fr. 50 en faveur de l’intimée à titre de dommage subi par celle-ci. b)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Il en est de même pour les frais engagés dans une autre procédure, par exemple une procédure pénale; si cette autre procédure permet d’obtenir des dépens, même tarifés, le lésé ne peut pas exiger séparément, sur la base du droit fédéral, le remboursement de ses frais de conseil (TF 4A_77/2011 du 20 décembre 2011 c. 5.2 ; ATF 133 II 361 c. 4.1). Les dépens ne peuvent couvrir des opérations antérieures au procès que dans la mesure où elles étaient destinées à fixer la situation de fait ou de droit nécessaire à la rédaction de la demande (Poudret/Haldy/Tappy, Procédure civile vaudoise, n. 3 ad art. 91 CPC-VD et réf.). Autrement dit, les dépens ne couvrent que les opérations antérieures au procès liées à la rédaction de la demande, les autres opérations entrant dans le cadre du dommage. Ainsi, les frais engagés avant l’ouverture du procès en vue de rechercher une solution transactionnelle ne peuvent être compris dans les dépens, mais constituent, le cas échéant, un élément du dommage (Poudret/Haldy/Tappy, loc. cit.). c) On peut admettre que les opérations faisant l’objet de la note d’honoraires de Me Reymond pour les opérations antérieures à l’ouverture d’action entrent dans le dommage ainsi défini. Il n’apparaît pas que les frais liés à la procédure pénale, en connexité étroite avec le litige civil, auraient pu être couverts par des dépens même tarifés. Les appelants ne le prétendent eux-mêmes pas; d’ailleurs seul Z.________ aurait pu prétendre à des dépens pénaux, au surplus uniquement si les plaignants avaient agi par dol, témérité ou légèreté ou s’ils avaient compliqué l’instruction (Bovay/Dupuis/Monnier/Moreillon/Piguet, Procédure pénale vaudoise, n. 5.5 ad art. 163 CPP-VD). Le grief des appelants, mal fondé, doit ainsi être rejeté.</w:t>
      </w:r>
    </w:p>
    <w:p>
      <w:r>
        <w:rPr>
          <w:b/>
        </w:rPr>
        <w:t>E. 10</w:t>
      </w:r>
    </w:p>
    <w:p>
      <w:r>
        <w:t>Il résulte de ce qui précède que l’appel doit être rejeté selon le mode procédural prévu par l'art. 312 al. 1 CPC et le jugement attaqué confirmé. Les appelants, qui succombent, doivent supporter, solidairement entre eux, les frais judiciaires de deuxième instance (art. 106 al. 1 CPC), arrêtés à 888 fr. (art. 62 al. 1 TFJC [Tarif du 28 septembre 2010 des frais judiciaires civils; RSV 270.11.5]) qui sont compensés avec l'avance du même montant que les appelants ont fournie (art. 111 al. 1 CPC). Il n’y a pas lieu d’allouer de dépens, dès lors que l’intimée n'a pas été invitée à se déterminer sur l'appel (cf. art. 95 al. 3 CPC) et bien qu’elle l’ait fait spontanément.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