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53 vom 6. Dezember 2013</w:t>
      </w:r>
    </w:p>
    <w:p>
      <w:r>
        <w:t>VD Tribunal cantonal, 2013-12-06, FR</w:t>
      </w:r>
    </w:p>
    <w:p>
      <w:r>
        <w:rPr>
          <w:b/>
        </w:rPr>
        <w:t xml:space="preserve">Quelle: </w:t>
      </w:r>
      <w:r>
        <w:t>https://mcp.opencaselaw.ch/entscheid/vd_findinfo_HC___2014___53</w:t>
      </w:r>
    </w:p>
    <w:p>
      <w:r>
        <w:t>FR: VD_FINDINFO HC / 2014 / 53 du 6 décembre 2013</w:t>
      </w:r>
    </w:p>
    <w:p>
      <w:r>
        <w:t>IT: VD_FINDINFO HC / 2014 / 53 del 6 dicembre 2013</w:t>
      </w:r>
    </w:p>
    <w:p>
      <w:pPr>
        <w:pStyle w:val="Heading2"/>
      </w:pPr>
      <w:r>
        <w:t>Regeste</w:t>
      </w:r>
    </w:p>
    <w:p>
      <w:r>
        <w:t>DÉPENS, RETRAIT{VOIE DE DROIT}, HONORAIRES, AVOCAT | 106 al. 1 CPC (CH), 95 al. 1 CPC (CH), 95 al. 1 let. b CPC (CH), 95 al. 3 let. b CPC (CH)</w:t>
      </w:r>
    </w:p>
    <w:p>
      <w:pPr>
        <w:pStyle w:val="Heading2"/>
      </w:pPr>
      <w:r>
        <w:t>Erwägungen</w:t>
      </w:r>
    </w:p>
    <w:p>
      <w:r>
        <w:rPr>
          <w:b/>
        </w:rPr>
        <w:t>E. 1</w:t>
      </w:r>
    </w:p>
    <w:p>
      <w:r>
        <w:t>a) Lorsque seule la décision sur les frais, qui comprennent les dépens (art. 95 al. 1 let. b CPC) est litigieuse, elle ne peut être attaquée que par un recours (art. 110 et 319 let. b ch. 1 CPC; Tappy, CPC commenté, Bâle 2011, n. 3 ad art. 110 CPC, p. 437). Tel est le cas en l'espèce, le recourant contestant uniquement la quotité des dépens alloués. b) Adressé en temps utile à l'autorité compétente par une personne qui y a un intérêt digne de protection (art. 59 al. 1 let. a CPC), le présent recours est recevable à la forme.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ZPO, 2 ème éd., Bâle 2013, n. 26 ad art. 319 CPC, p. 1811). Elle revoit librement les questions de droit soulevées par le recourant et peut substituer ses propres motifs à ceux de l'autorité précédente ou du recourant (Hohl, Procédure civile, tome II, 2 ème éd., Berne 2010, n. 2508, p. 452). S'agissant de la constatation manifestement inexacte des faits, comme pour l'art. 97 al. 1 LTF,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 ou a refusé de tenir compte de faits ou de preuves manifestement décisifs. Une constatation de fait n'est donc pas arbitraire pour la seule raison que la version retenue par le juge de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CPC commenté, op. cit., n. 6 ad art. 327 CPC, p. 1287). En l'espèce, la Cour de céans peut statuer sur la question soulevée, savoir la quotité des dépens. c) Les pièces produites par les parties sont irrecevables (art. 326 al. 1 CPC).</w:t>
      </w:r>
    </w:p>
    <w:p>
      <w:r>
        <w:rPr>
          <w:b/>
        </w:rPr>
        <w:t>E. 3</w:t>
      </w:r>
    </w:p>
    <w:p>
      <w:r>
        <w:t>a) Le recourant se plaint tant de violation du droit (art. 95 CPC, 3 et 4 TDC [tarif des dépens en matière civile du 23 novembre 2010, RSV 270.11.6]) que de constatation manifestement inexacte des faits. Se fondant sur le désistement d'action de l'intimée, il fait grief au premier juge d'avoir arbitrairement sous-estimé le temps que son conseil a consacré à l'accomplissement de son mandat et de lui avoir accordé des dépens qui ne couvrent pas l'entier des frais causés par le litige et l'ampleur du travail effectué. Il fait en outre valoir que son droit d'être entendu a été violé en raison du défaut de motivation de la décision attaquée, dans laquelle le premier juge réduit, selon lui sans en expliquer les raisons, à 7 h 45 le temps nécessaire à la défense de ses intérêts, alors que son conseil avait annoncé 28 h 30. b) Les frais sont mis à la charge de la partie succombante. La partie succombante est le demandeur lorsque le tribunal n’entre pas en matière et en cas de désistement d’action; elle est le défendeur en cas d’acquiescement (art. 106 al. 1 CPC). Les frais comprennent les frais judiciaires et les dépens (art. 95 al. 1 let. b CPC). Les dépens sont une indemnité de procédure mise à la charge d’un plaideur en faveur de l’autre pour le dédommager des dépenses ou du manque à gagner occasionné par le procès (Tappy, op. cit., n. 21 ad art. 95 CPC). Ils comprennent les débours nécessaires et le défraiement d’un représentant professionnel (art. 95 al. 3 CPC et 1 TDC). Le juge fixe les dépens selon le tarif des dépens en matière civile (TDC) (art. 105 al. 2 CPC), lequel prévoit que le défraiement du représentant est fixé selon le type de procédure et la valeur litigieuse de la cause (art. 3 TDC), valeur litigieuse qui est déterminée par les conclusions (art. 91 al. 1 CPC). Lorsque ce représentant est un avocat agissant dans une cause en procédure ordinaire, l’art.</w:t>
      </w:r>
    </w:p>
    <w:p>
      <w:r>
        <w:rPr>
          <w:b/>
        </w:rPr>
        <w:t>E. 4</w:t>
      </w:r>
    </w:p>
    <w:p>
      <w:r>
        <w:t>h 00 - étude du dossier et examen des actes de la partie adverse              3 h 00 - confection d'un bordereau 0 h 30 - élaboration et rédaction d'une réponse de 184 allégués et 33 pages</w:t>
      </w:r>
    </w:p>
    <w:p>
      <w:r>
        <w:rPr>
          <w:b/>
        </w:rPr>
        <w:t>E. 8</w:t>
      </w:r>
    </w:p>
    <w:p>
      <w:r>
        <w:t>% sur tous les montants précités. Au final, les dépens alloués au recourant seront arrêtés à 6'432 fr., débours et TVA compris, le recours devant être admis dans cette mesure. 4. a) En définitive, le recours doit être partiellement admis et la décision attaquée réformée dans le sens qui précède. b) Les frais judiciaires de deuxième instance sont arrêtés à 400 fr. (art. 69 al. 1 TFJC [tarif des frais judiciaires civils du 28 septembre 2010, RSV 270.11.5]) et mis à la charge de l'intimée, qui succombe (art. 106 al. 1 CPC). c) Le recours étant partiellement admis, F.________ a droit à des dépens réduits, arrêtés à 1'000 fr. (art. 106 al. 1 CPC et 8 al. 1 TDC), ainsi qu'au remboursement des frais judiciaires de deuxième instance, par 400 francs. Par ces motifs, la Chambre des recours civile du Tribunal cantonal, statuant à huis clos, prononce : I.              Le recours est partiellement admis. II. La décision est réformée au chiffre III de son dispositif selon la teneur suivante : III. dit qu’E.________Sàrl est la débitrice de F.________ et lui doit immédiat paiement de la somme de 6'432 fr. (six mille quatre cent trente-deux francs) à titre de dépens. Le jugement est confirmé pour le surplus. III. Les frais judiciaires de deuxième instance, arrêtés à 400 fr. (quatre cents francs), sont mis à la charge de l’intimée E.________Sàrl. IV. L’intimée E.________Sàrl versera au recourant F.________ la somme de 1'400 fr. (mille quatre cents francs) à titre de dépens et de remboursement des frais judiciaires de deuxième instance. V. L’arrêt motivé est exécutoire. Le président :               La greffière : Du</w:t>
      </w:r>
    </w:p>
    <w:p>
      <w:r>
        <w:rPr>
          <w:b/>
        </w:rPr>
        <w:t>E. 10</w:t>
      </w:r>
    </w:p>
    <w:p>
      <w:r>
        <w:t>décembre 2013 Le dispositif de l'arrêt qui précède est communiqué par écrit aux intéressés. La greffière : Du L'arrêt qui précède, dont la rédaction a été approuvée à huis clos, est notifié en expédition complète, par l'envoi de photocopies, à : ‑ Me Tony Donnet-Monay (pour F.________), ‑ Me Christian Giauque (pour E.________Sàrl).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