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521 vom 2. Juni 2014</w:t>
      </w:r>
    </w:p>
    <w:p>
      <w:r>
        <w:t>VD Tribunal cantonal, 2014-06-02, FR</w:t>
      </w:r>
    </w:p>
    <w:p>
      <w:r>
        <w:rPr>
          <w:b/>
        </w:rPr>
        <w:t xml:space="preserve">Quelle: </w:t>
      </w:r>
      <w:r>
        <w:t>https://mcp.opencaselaw.ch/entscheid/vd_findinfo_HC___2014___521</w:t>
      </w:r>
    </w:p>
    <w:p>
      <w:r>
        <w:t>FR: VD_FINDINFO HC / 2014 / 521 du 2 juin 2014</w:t>
      </w:r>
    </w:p>
    <w:p>
      <w:r>
        <w:t>IT: VD_FINDINFO HC / 2014 / 521 del 2 giugno 2014</w:t>
      </w:r>
    </w:p>
    <w:p>
      <w:pPr>
        <w:pStyle w:val="Heading2"/>
      </w:pPr>
      <w:r>
        <w:t>Regeste</w:t>
      </w:r>
    </w:p>
    <w:p>
      <w:r>
        <w:t>DÉCISION D'IRRECEVABILITÉ, OBLIGATION DE CHIFFRER LES CONCLUSIONS, CONCLUSIONS | 321 al. 1 CPC (CH), 321 CPC (CH)</w:t>
      </w:r>
    </w:p>
    <w:p>
      <w:pPr>
        <w:pStyle w:val="Heading2"/>
      </w:pPr>
      <w:r>
        <w:t>Erwägungen</w:t>
      </w:r>
    </w:p>
    <w:p>
      <w:r>
        <w:rPr>
          <w:b/>
        </w:rPr>
        <w:t>E. 2</w:t>
      </w:r>
    </w:p>
    <w:p>
      <w:r>
        <w:t>Annuler le Jugement rendu le 26 novembre 2013 par le Tribunal de prud’hommes du Tribunal d’arrondissement de la Broye et du Nord vaudois ;</w:t>
      </w:r>
    </w:p>
    <w:p>
      <w:r>
        <w:rPr>
          <w:b/>
        </w:rPr>
        <w:t>E. 3</w:t>
      </w:r>
    </w:p>
    <w:p>
      <w:r>
        <w:t>Statuer au sens des considérants ; Subsidiairement :</w:t>
      </w:r>
    </w:p>
    <w:p>
      <w:r>
        <w:rPr>
          <w:b/>
        </w:rPr>
        <w:t>E. 4</w:t>
      </w:r>
    </w:p>
    <w:p>
      <w:r>
        <w:t>Renvoyer la cause à l’autorité inférieure pour nouvelle décision au sens des considérants ; En tout état de cause :</w:t>
      </w:r>
    </w:p>
    <w:p>
      <w:r>
        <w:rPr>
          <w:b/>
        </w:rPr>
        <w:t>E. 5</w:t>
      </w:r>
    </w:p>
    <w:p>
      <w:r>
        <w:t>Allouer au recourant une indemnité de dépens de Fr. 200.- ;</w:t>
      </w:r>
    </w:p>
    <w:p>
      <w:r>
        <w:rPr>
          <w:b/>
        </w:rPr>
        <w:t>E. 6</w:t>
      </w:r>
    </w:p>
    <w:p>
      <w:r>
        <w:t>Statuer sur les frais. » 3. A teneur de l’art. 321 al. 1 CPC (Code de procédure civile du 19 décembre 2008 ; RS 272), le recours doit être introduit par un acte écrit et motivé. Le recours doit notamment contenir des conclusions, en annulation ou au fond, soit l’exposé de ce que la partie veut que le tribunal lui alloue dans sa décision (Tappy, CPC commenté, Bâle 2011, n. 11 ad art. 221 CPC). Ainsi,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(Jeandin, CPC commenté, op. cit.,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références citées). Selon la jurisprudence du Tribunal cantonal, des conclusions tendant à l’annulation et au renvoi au premier juge prises par une partie assistée d’un mandataire professionnel sont dénuées d’ambiguïté et ne sauraient être interprétées comme tendant à la réforme. Elles doivent être déclarées irrecevables, à plus forte raison si elle ne sont pas chiffrées (CACI 5 novembre 2012/519 c. 3c, JT 2013 III 131, pp. 139-140). Par ailleurs,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30 janvier 2014/37 c. 3 ; CREC 15 octobre 2012/363 ; Jeandin, op. cit., n. 4 ad art. 321 CPC, et n. 5 ad art. 311 CPC par analogie). En l’espèce, le recourant, assisté d’un mandataire professionnel, se borne à conclure à l’annulation du jugement attaqué et à ce qu’il soit statué dans le sens des considérants. Il ne prend aucune conclusion chiffrée en réforme. Au vu de la jurisprudence précitée, il s’agit d’un vice irréparable, de sorte que le recours doit être déclaré irrecevable sans qu’il soit nécessaire de lui impartir un délai pour y remédier. 4. En définitive, le recours doit être déclaré irrecevable en application de la procédure de l’art. 322 al. 1 CPC. L’arrêt peut être rendu sans frais (art. 10 TFJC [tarif des frais judiciaires civils du 28 septembre 2010 ;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Me [...], avocat (pour U.________ SA), ‑ Me Jean-Michel Dolivo, avocat (pour E.________).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