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519 vom 30. Juni 2014</w:t>
      </w:r>
    </w:p>
    <w:p>
      <w:r>
        <w:t>VD Tribunal cantonal, 2014-06-30, FR</w:t>
      </w:r>
    </w:p>
    <w:p>
      <w:r>
        <w:rPr>
          <w:b/>
        </w:rPr>
        <w:t xml:space="preserve">Quelle: </w:t>
      </w:r>
      <w:r>
        <w:t>https://mcp.opencaselaw.ch/entscheid/vd_findinfo_HC___2014___519</w:t>
      </w:r>
    </w:p>
    <w:p>
      <w:r>
        <w:t>FR: VD_FINDINFO HC / 2014 / 519 du 30 juin 2014</w:t>
      </w:r>
    </w:p>
    <w:p>
      <w:r>
        <w:t>IT: VD_FINDINFO HC / 2014 / 519 del 30 giugno 2014</w:t>
      </w:r>
    </w:p>
    <w:p>
      <w:pPr>
        <w:pStyle w:val="Heading2"/>
      </w:pPr>
      <w:r>
        <w:t>Regeste</w:t>
      </w:r>
    </w:p>
    <w:p>
      <w:r>
        <w:t>CAS CLAIR, EXPULSION DE LOCATAIRE | 257 CO, 257d CO, 257 al. 1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A teneur de l’art. 311 al. 1 CPC, l’appel doit être introduit par un acte écrit et motivé. L’appelant a ainsi le fardeau d’expliquer les motifs pour lesquels la décision attaquée doit être annulée et modifiée, par référence à l'un et/ou l'autre des motifs prévus à l'art. 310 CPC (TF 4A_659/2011 du 7 décembre 2011, in SJ 2012 I 131 c. 3; Jeandin, CPC commenté, Bâle 2011, n. 3 ad art. 311 CPC, p. 1251). L’instance supérieure doit pouvoir comprendre ce qui est reproché au premier juge sans avoir à rechercher les griefs par elle-même, ce qui suppose une désignation précise des passages de la décision que le recourant attaque et des pièces au dossier sur lesquelles repose sa critique (ATF 138 III 374 c. 4.3.1 ; 140 III 86 c. 2). En l’espèce, la question de savoir si les conclusions en annulation, desquelles on comprend que l’appelante conteste notamment la résiliation de son bail, sont suffisantes au regard des exigences en la matière peut demeurer indécise au vu de l’issue du litige. Le litige porte sur la validité de la résiliation d’un bail, dont le loyer mensuel global est de 1'870 fr. par mois (1'690 + 180), donnée en application de l’art. 257d CO. En prenant la période de protection de trois ans, la valeur litigieuse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l’intimée a requis l’application de la procédure pour les cas clairs (art. 257 CPC) et le premier juge en a fait application. Une telle procédure étant sommaire (art. 248 let. b CPC), le délai d’appel est de dix jours. Interjeté en temps utile par une partie qui y a un intérêt,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c) En l’espèce, les pièces n° 1 et n° 2 produites par l’appelante relèvent de la procédure de première instance et sont recevables. Il en va de même des pièces n° 3, n° 4 et n° 5 qui figurent déjà au dossier de première instance, tout comme les pièces dont elle requiert la production en mains de la justice de paix (pièces n os</w:t>
      </w:r>
    </w:p>
    <w:p>
      <w:r>
        <w:rPr>
          <w:b/>
        </w:rPr>
        <w:t>E. 6</w:t>
      </w:r>
    </w:p>
    <w:p>
      <w:r>
        <w:t>à 31), de sorte que cette requête est sans objet. Il sera tenu compte de ces pièces dans la mesure de leur utilité pour la présente procédure d’appel. 3. L’appelante fait valoir qu’aucune procédure de conciliation n’aurait eu lieu avant la requête d’expulsion déposée par l’intimée le 10 février 2014, ce qui violerait la loi dans les cas de congés donnés à la suite d’un retard de paiement de loyer. a) L’art. 198 let. a CPC dispose que la procédure de conciliation n'a pas lieu dans la procédure sommaire. Aux termes de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Le demandeur doit apporter la pleine preuve des faits fondant sa prétention. Le cas clair doit être nié dès que le défendeur fait valoir des moyens qui, sur le plan des faits, ne sont pas d’emblée voués à l’échec et qui nécessitent une instruction complète des preuves (ATF 138 III 620 c. 5.1.1). b) L'art. 257d CO dispose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 4), cela même si l'arriéré avait finalement a été payé (TF 4C.413/1996 du 27 février 1997, Cahiers du bail [CdB] 3/97 pp. 65 ss.). c) Les deux conditions cumulatives pour admettre un cas clair ne concernent que la procédure stricto sensu de l’expulsion consécutive au non-paiement du loyer, au sens de l’art. 257 d CO, à l’exclusion de toute autre question de fait ou de droit qui concernerait d’autres procédures auxquelles l’appelante se réfère, telle la procédure de mainlevée d’opposition évoquée (appel p. 2), les procédures l’ayant opposée à [...] SA et [...] (CACI du 27 septembre 2013/507, dont le recours au Tribunal Fédéral a été déclaré irrecevable dans l’arrêt 4A_33/2014 du 18 février 2014) sur lesquelles il n’y a pas lieu de revenir en l’espèce ni sur la réquisition de production de pièces les concernant. Les griefs concernant ces questions, telle la constatation manifestement inexacte des faits, la violation du code pénal et de la CEDH, ne sont ainsi pas admissibles dans le cadre de la présente procédure.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w:t>
      </w:r>
    </w:p>
    <w:p>
      <w:r>
        <w:rPr>
          <w:b/>
        </w:rPr>
        <w:t>E. 7</w:t>
      </w:r>
    </w:p>
    <w:p>
      <w:r>
        <w:t>novembre 2011 c. 3.1, SJ 2012 I 120). Si les conditions de l’expulsion sont remplies, le juge donnera l’ordre au locataire d’évacuer les lieux. Si le locataire conteste la résiliation du bail et rend vraisemblables ses allégations, le tribunal n’entrera pas en matière. Le bailleur devra alors ouvrir devant le tribunal compétent une action en expulsion selon la procédure simplifiée des art. 243 ss CPC (Hohl, Procédure civile, tome II, 2 e éd., n. 1454, p. 263). Au demeurant, l’introduction par le locataire d’une requête de conciliation n’exclut nullement que le bailleur, de son côté, dépose une requête d’expulsion pour cas clair devant le juge de l’expulsion, à savoir le juge de paix, sans conciliation préalable (art. 198 let. a CPC), l’obligation de saisir l’autorité de conciliation selon l’art. 273c al. 1 CO valant pour tous les litiges, sauf en cas d’expulsion du locataire consécutive à une résiliation extraordinaire de bail (Conod, in CPra-Bail, n. 11 ad art. 273 CO). Dans un tel cas, la Commission de conciliation saisie par le locataire ne doit pas se dessaisir formellement de la cause, comme le prévoyait l’ancien art. 274g al. 3 CO aujourd’hui abrogé, mais la suspendre jusqu’à droit connu sur la requête d’expulsion (Colombini, note in JT 2011 III 85-86 ch. 4a et b; CACI 10 juillet 2012/325 ; Lachat, Procédure civile en matière de baux à loyer, Genève 2010, pp. 166 à 169 ; Bohnet, Le droit du bail en procédure civile suisse, in 16 e Séminaire de droit du bail, Zurich 2010, pp. 15-16). d) En l’espèce, au vu des principes énoncés ci-dessus, le grief de l’appelante doit être rejeté. En effet, les deux conditions cumulatives de l’art. 257 al. 1 CPC pour admettre l’existence d’un cas clair étaient remplies, l’appelante n’ayant pas rendu vraisemblables ses allégations dans le cadre de sa contestation de la résiliation de son bail. En particulier, elle admet explicitement qu’elle était en demeure quant au paiement des loyers en question, au vu de sa situation financière. En outre, l’absence de conciliation préalable ne porte pas à conséquence, puisqu’elle n’est pas obligatoire et que l’appelante ne prétend pas qu’elle se serait saisie de la Commission de conciliation en matière de bail, laquelle aurait de toute manière suspendu la cause jusqu’à droit connu sur la requête d’expulsion déposée par l’intimée. Enfin, comme cela a déjà été indiqué ci-dessus, les autres éléments évoqués par l’appelante – notamment en relation avec sa situation financière – sont sans pertinence s’agissant de la présente procédure. 4. L’appelante fait encore valoir que la juge de paix aurait dû se récuser, compte tenu de son éventuel lien de famille avec l’expert-comptable diplômé qui aurait, selon elle, procédé à une estimation non conforme à la loi des sociétés [...] SA et [...] SA au 31 décembre 2001. Le prétendu lien de famille entre la juge de paix et l’expert-comptable qui porteraient le même nom de famille, à supposer avéré, ne concerne cependant en aucun cas la présente procédure d’expulsion en cas clair. En outre, le motif de récusation que fait valoir l’appelante, à savoir la (co)responsabilité de la justice de paix quant à sa situation financière qu’elle qualifie de grave, ne constitue pas un motif de récusation à l’endroit du premier juge. Manifestement infondé, ce grief doit être rejeté. 5. a) En conclusion, l'appel doit, dans la mesure où il est recevable, être rejeté en application de l'art. 312 al. 1 CPC et l'ordonnance confirmée. Le délai de libération des locaux étant échu du fait de l’effet suspensif accordé à l’appel, il convient de renvoyer la cause au premier juge pour qu’il fixe à l'appelante un nouveau délai pour libérer les locaux litigieux. b) L’appel étant dépourvu de chances de succès, la demande d'assistance judiciaire partielle portant sur la dispense des frais judiciaires, déposée par J.________, doit également être rejetée (art. 117 let. b CPC). Les frais judiciaires de deuxième instance, arrêtés à 100 fr. (art. 62 al. 3 et 69 al. 1 TFJC [tarif du 28 septembre 2010 des frais judiciaires civils ; RSV 270.11.5]), seront dès lors mis à la charge de l'appelante, qui succombe (art. 106 al. 1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