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518 vom 10. Juni 2014</w:t>
      </w:r>
    </w:p>
    <w:p>
      <w:r>
        <w:t>VD Tribunal cantonal, 2014-06-10, FR</w:t>
      </w:r>
    </w:p>
    <w:p>
      <w:r>
        <w:rPr>
          <w:b/>
        </w:rPr>
        <w:t xml:space="preserve">Quelle: </w:t>
      </w:r>
      <w:r>
        <w:t>https://mcp.opencaselaw.ch/entscheid/vd_findinfo_HC___2014___518</w:t>
      </w:r>
    </w:p>
    <w:p>
      <w:r>
        <w:t>FR: VD_FINDINFO HC / 2014 / 518 du 10 juin 2014</w:t>
      </w:r>
    </w:p>
    <w:p>
      <w:r>
        <w:t>IT: VD_FINDINFO HC / 2014 / 518 del 10 giugno 2014</w:t>
      </w:r>
    </w:p>
    <w:p>
      <w:pPr>
        <w:pStyle w:val="Heading2"/>
      </w:pPr>
      <w:r>
        <w:t>Regeste</w:t>
      </w:r>
    </w:p>
    <w:p>
      <w:r>
        <w:t>TRANSACTION JUDICIAIRE, ERREUR ESSENTIELLE, OBLIGATION D'ENTRETIEN, REVENU, ÉQUITÉ | 133 al. 1 CC, 276 al. 1 CC, 276 al. 2 CC, 285 al. 1 CC, 279 CPC (CH)</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et portant sur des conclusions patrimoniales qui, capitalisées selon l’art. 92 al. 2 CPC, sont de 10'000 fr. au moins (art. 308 al. 1 let. a et al. 2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(JT 2011 III 43 c. 2 et les réf. citées ; TF 5A_695/2012 du 20 mars 2013 c. 4.2.1 ; TF 4A_334/2012 du 16 octobre 2012 c. 3.1). En l’espèce, les pièces sont recevables, les conditions précitées étant réalisées.</w:t>
      </w:r>
    </w:p>
    <w:p>
      <w:r>
        <w:rPr>
          <w:b/>
        </w:rPr>
        <w:t>E. 3</w:t>
      </w:r>
    </w:p>
    <w:p>
      <w:r>
        <w:t>a) Invoquant une constatation erronée des faits et se prévalant d’une erreur essentielle, l’appelant reproche à l’intimée de lui avoir caché les revenus perçus de son activité pour le compte de H.________ et la reconduction de son contrat de travail auprès de cet établissement à tout le moins jusqu’à la fin du mois de mars 2014. Il soutient aussi que ses propres revenus ont été évalués de manière inexacte. b) aa) Aux termes de l’art. 279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La convention n’est valable qu’une fois ratifiée par le tribunal. Elle doit figurer dans le dispositif de la décision (al. 2). La ratification de la convention peut être remise en cause dans le cadre d’un appel ou d’un recours, selon la valeur du litige, pour violation de l’art. 279 al. 1 CPC, et non seulement pour vices du consentement, comme c’est le cas de la décision sur le prononcé du divorce lui-même (TF 5A_187/2013 du 4 octobre 2013 c. 5). S’agissant des effets du divorce réglés d’un commun accord, l’autorité de deuxième instance ne saurait toutefois avoir une liberté d’appréciation plus grande que le premier juge (art. 279 CPC). Un appel est dès lors possible seulement pour faire vérifier que les conditions pour ratifier la convention des parties et prononcer le divorce étaient réunies. Outre d’un vice du consentement, l’autorité de deuxième instance peut donc tenir compte d’une iniquité manifeste de la convention sur les contributions d’entretien entre conjoints ou la liquidation du régime matrimonial (art. 279 al. 1 CPC) ou d’une impossibilité ou d’une illégalité du partage des prestations de sortie (art. 280 al. 1 let. b et c CPC) (Tappy, CPC commenté, nn. 16 s. ad art. 289 CPC ; CACI 9 juillet 2012/320). S’agissant de la liberté d’appréciation des dispositions de la convention, il convient de distinguer les questions qui concernent les enfants, pour lesquelles le juge a un grand pouvoir d’appréciation découlant des règles de la maxime inquisitoire, les questions qui concernent le partage des prestations de sortie, s’agissant desquelles le pouvoir de contrôle est moins étendu mais n’en est pas moins notable compte tenu de l’existence de dispositions impératives et, enfin, les autres effets du divorce auxquels est applicable la maxime de disposition ce qui implique un pouvoir de contrôle limité (Tappy, Les procédures en droit matrimonial, in : Procédure civile suisse : les grands thèmes pour les praticiens, 2010, pp. 289-290 ; JT 2013 III 6). Avant de ratifier la convention, le juge doit s’assurer en particulier que les époux l’ont conclue de leur plein gré (art. 279 al. 1 CPC), c’est-à-dire qu’ils ont formé librement leur volonté et qu’ils l’ont communiquée librement. Cette condition présuppose qu’ils n’ont conclu leur convention ni sous l’empire d’une erreur (art. 23 ss CO), ni sous l’emprise du dol (art. 28 CO). La partie victime d’un vice du consentement supporte le fardeau de l’allégation et le fardeau de la preuve de ce vice (art. 8 CC ; ATF 97 Il 339 c. 1b). L’erreur qui constitue un obstacle à la ratification est l’erreur essentielle au sens de l’art. 23 CO. Est dans l’erreur celui qui a une fausse représentation d’un fait. L’absence de représentation d’un fait, à savoir l’ignorance de celui-ci, y est assimilée. Toutefois, seule l’ignorance inconsciente équivaut à une erreur. En effet, celui qui sait qu’il ne sait pas ne se trompe pas ; sa méconnaissance consciente ne peut pas être considérée comme une erreur. De même, celui qui doute de l’exactitude de sa représentation n’a ni une fausse représentation, ni une absence de représentation et, partant, il ne peut être dans l’erreur (Gauch/Schluep/Schmid/Emmenegger, Schweizerisches Obligationenrecht, allgemeiner Teil, vol. I, 9 e éd., Zurich 2008, nn. 762-763 ; Schmidlin, Berner Kommentar, Obligationenrecht, Berne 2013, nn. 9 ss ad art. 23/24 CO).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5A_599/2007 du 8 octobre 2008 c. 6.4.1 ; TF 5C_163/2006 du 3 novembre 2010 c. 4.1 à propos de l’ancien art. 140 CC ; CACI 9 juillet 2012/320). L’art. 279 al. 1 CPC ne permet cependant pas au juge de refuser la ratification d’une convention qui ne lui paraîtrait pas totalement juste, cette disposition n’étant pas l’expression du contrôle de l’égalité dans l’échange (JT 2013 III 67). bb) A teneur de l’art. 133 al. 1 CC (Code civil suisse du 10 décembre 1907 ; RS 210), le juge du divorce fixe la contribution d’entretien due en faveur des enfants par le parent n’ayant pas leur garde. Cette disposition renvoie ainsi à l’art. 276 CC, qui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Il 110, JT 1993 I 162 c. 3a).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 pour un enfant, 25 à 27 % lorsqu’il y en a deux, 30 à 35 % lorsqu’il y en a trois et 40 % lorsqu’il y en a quatre (Bastons-Bulletti, L’entretien après divorce : méthodes de calcul, montant, durée et limites, in SJ 2007 II 77 ss, spéc. p. 107 s. ; RSJ 1984, p. 392, n. 4 et note p. 393 ; Meier/Stettler, Droit de la filiation,</w:t>
      </w:r>
    </w:p>
    <w:p>
      <w:r>
        <w:rPr>
          <w:b/>
        </w:rPr>
        <w:t>E. 4</w:t>
      </w:r>
    </w:p>
    <w:p>
      <w:r>
        <w:t>a) L’appelant soutient enfin qu’en l’absence de convention, la pension alimentaire pour chaque enfant aurait été de 1'690 fr. selon les tabelles zurichoises, montant duquel il aurait fallu retrancher 335 fr. compte tenu de l’absence de frais de logement et qu’il aurait fallu ensuite majorer de 25 % au vu de la situation financière des parties. b) Les contributions d’entretien de 6’000 fr. pour les deux enfants correspondent au 17 % du revenu de l’appelant et sont donc inférieures au pourcentage de 25-27 % usuellement retenu (cf. supra, c. 3b/bb). Certes, si la situation financière du parent débiteur est particulièrement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 2.2 et 2.3, FamPra.ch 2011 n. 53 p. 769). La jurisprudence vaudoise limite en principe à 25 % l’augmentation du montant prévu par les tabelles zurichoises (CREC II 1 mars 2010/52 ; CREC II 23 janvier 2009/13), solution qui a été confirmée par le Tribunal fédéral (TF 5A_159/2009 du 16 octobre 2009 c. 4.1 et réf. ; ATF 127 I 202 c. 3e ; ATF 118 II 97 c. 4b/aa). En cas de train de vie très aisé, il n’est toutefois pas arbitraire de se fonder sur les besoins concrets de l’enfant et non sur les indications – même augmentées de 25 % – résultant des tabelles zurichoises (TF 5A_271/2012 du 12 novembre 2012 c. 3.1). c) En l’espèce, si les contributions convenues sont certes généreuses et dépassent le montant des tabelles zurichoises augmentées de 25 %, elles n’en apparaissent pas pour autant manifestement inéquitables au sens de la jurisprudence, compte tenu des revenus très importants du débirentier. Ce dernier aurait dû démontrer que la contribution convenue dépassait les besoins concrets des enfants à un point tel que le montant convenu apparaissait manifestement insoutenable, ce qu’il ne tente même pas.</w:t>
      </w:r>
    </w:p>
    <w:p>
      <w:r>
        <w:rPr>
          <w:b/>
        </w:rPr>
        <w:t>E. 5</w:t>
      </w:r>
    </w:p>
    <w:p>
      <w:r>
        <w:t>Au demeurant, il ressort du procès-verbal de l’audience du 19 juin 2013 que chaque partie a eu l’opportunité de s’entretenir avec son avocat sur les tenants et aboutissants des termes de l’accord durant deux suspensions d’audience. On en déduit que la convention sur les effets accessoires du divorce a été conclue et signée après mûre réflexion des parties et selon leur libre volonté. De plus, la convention est complète et doit être qualifiée de claire, ses termes étant dépourvus de toute ambiguïté. Il s’ensuit que toutes les conditions de ratification de la convention sur les effets accessoires du divorce sont réalisées.</w:t>
      </w:r>
    </w:p>
    <w:p>
      <w:r>
        <w:rPr>
          <w:b/>
        </w:rPr>
        <w:t>E. 6</w:t>
      </w:r>
    </w:p>
    <w:p>
      <w:r>
        <w:t>Il résulte de ce qui précède que l’appel doit être rejeté dans la procédure de l’art. 312 al. 1 CPC et la décision entreprise confirmée. Les frais judiciaires de deuxième instance sont arrêtés à 1’200 fr. (art. 63 al. 2 TFJC [tarif des frais judiciaires civils du 28 septembre 2010 ; RSV 270.11.5]) et mis à la charge de l'appelant,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