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515 vom 27. Mai 2014</w:t>
      </w:r>
    </w:p>
    <w:p>
      <w:r>
        <w:t>VD Tribunal cantonal, 2014-05-27, FR</w:t>
      </w:r>
    </w:p>
    <w:p>
      <w:r>
        <w:rPr>
          <w:b/>
        </w:rPr>
        <w:t xml:space="preserve">Quelle: </w:t>
      </w:r>
      <w:r>
        <w:t>https://mcp.opencaselaw.ch/entscheid/vd_findinfo_HC___2014___515</w:t>
      </w:r>
    </w:p>
    <w:p>
      <w:r>
        <w:t>FR: VD_FINDINFO HC / 2014 / 515 du 27 mai 2014</w:t>
      </w:r>
    </w:p>
    <w:p>
      <w:r>
        <w:t>IT: VD_FINDINFO HC / 2014 / 515 del 27 maggio 2014</w:t>
      </w:r>
    </w:p>
    <w:p>
      <w:pPr>
        <w:pStyle w:val="Heading2"/>
      </w:pPr>
      <w:r>
        <w:t>Regeste</w:t>
      </w:r>
    </w:p>
    <w:p>
      <w:r>
        <w:t>EXPULSION DE LOCATAIRE, DEMEURE DU DÉBITEUR | 257d CC, 257 al. 1 CPC (CH)</w:t>
      </w:r>
    </w:p>
    <w:p>
      <w:pPr>
        <w:pStyle w:val="Heading2"/>
      </w:pPr>
      <w:r>
        <w:t>Erwägungen</w:t>
      </w:r>
    </w:p>
    <w:p>
      <w:r>
        <w:rPr>
          <w:b/>
        </w:rPr>
        <w:t>E. 1</w:t>
      </w:r>
    </w:p>
    <w:p>
      <w:r>
        <w:t>Le litige porte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43; ATF 137 III 389 c. 1.1; TF 4A_634/2009 du 3 mars 2010 c. 1.1 et les références citées). En l’espèce, le loyer du logement en cause s'élevant à 1'420 fr. par mois, la valeur litigieuse est sans conteste supérieure à 10'000 francs. La voie de l'appel est ainsi ouverte (art. 308 al. 2 CPC). Lorsque la décision attaquée a été – comme en l’espèce – rendue en procédure sommaire, le délai d'appel est de dix jours (art. 314 al. 1 CPC). Bien que l’appel ne soit que peu motivé, l’appelante se contentant de solliciter un sursis et d’affirmer qu’elle s’acquittera désormais de son loyer sans retard, on comprend qu’elle conclut implicitement à la réforme de l’ordonnance en ce sens que le bail est maintenu et que l’expulsion n’est pas ordonnée. Il convient d’entrer en matière puisque la lecture de l’appel permet de comprendre ce que demande l’appelante, les conclusions devant être interprétées à la lumière de la motivation (ATF 137 III 617 c. 6.2). Interjeté en temps utile par une partie qui y a intérêt (art. 59 al. 2 let. a CPC),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ad art. 310 CPC). Elle peut revoir librement l’appréciation des faits sur la base des preuves administrées en première instance (Jeandin, op. cit., n. 6 ad art. 310 CPC).</w:t>
      </w:r>
    </w:p>
    <w:p>
      <w:r>
        <w:rPr>
          <w:b/>
        </w:rPr>
        <w:t>E. 3</w:t>
      </w:r>
    </w:p>
    <w:p>
      <w:r>
        <w:t>a) L’appelante s’oppose à l’expulsion au motif qu’elle a sollicité un sursis et paie désormais son loyer en temps utile. b/aa) Selon l’art. 257 al. 1 CPC, le tribunal admet l’application de la procédure sommaire lorsque les conditions suivantes sont remplies :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De manière générale, l’art. 257 CPC n’est pas seulement applicable lorsque l’état de fait est incontesté, mais également lorsqu’il est susceptible d’être immédiatement prouvé (TF 4A_585/2011 du 7 novembre 2011 c. 3.3.1, traduit in SJ 2012 I 121), notamment sur la base de moyens de preuve immédiatement disponibles, en particulier des pièces (ATF 138 III 123 c. 2.1.1 et les références citées).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cc) Selon la jurisprudence, le congé qui repose sur une mise en demeure portant sur un montant disproportionné par rapport au loyer effectivement dû est le prototype même du congé inefficace. En effet,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28 janvier 2006/89 c. 3 confirmé in CREC I 9 décembre 2010/649 c. 4b). Une proportion du simple au double entre le montant effectivement dû et celui réclamé a été jugée disproportionnée (CREC I 18 janvier 2006/89 c. 3; confirmé par arrêt rendu à cinq juges CREC I 3 septembre 2010/457 c. 4; CACI 30 mai 2011/97). Il en va de même a fortiori d’une disproportion du simple au triple (CACI 2 janvier 2012/1). Dans un arrêt de principe (CREC I 3 septembre 2010/457), la Chambre des recours a précisé, sans la modifier (cf. CACI 2 janvier 2012/1) sa jurisprudence en ce sens qu’il n’était pas arbitraire de considérer qu’une sommation portant sur un montant dépassant de 50% le loyer effectivement dû n’entraînait pas l’inefficacité du congé mais qu’elle pourrait le rendre abusif au sens des art. 271 ss CO, le locataire étant alors dans l’obligation de contester celui-ci dans le délai de l’art. 273 al. 1 CO sous peine de forclusion. c) En l’espèce, les conditions permettant de prononcer une expulsion sont remplies. La commination et la lettre de résiliation ont été envoyées aux deux locataires, dont on ignore au demeurant s’ils sont mariés ou non. La résiliation a été adressée à ces derniers le jour suivant l’échéance du délai de 30 jours, soit le 26 novembre 2013. Par ailleurs, même si la lettre de résiliation, envoyée à la nouvelle adresse d’C.________, n’a pas été retirée à la poste, elle est réputée reçue. De plus, ce dernier n’habite plus dans l’appartement et semble se désintéresser de la procédure. En outre, le fait que le montant du loyer a été payé par l’appelante après le délai comminatoire ne permet pas de faire obstacle au droit de la bailleresse de résilier le bail, nonobstant l’engagement de l’appelante de s’acquitter désormais sans retard de ses loyers. Au surplus, la disproportion entre le loyer réclamé de 1'420 fr. et la sommation de 1'914 fr. n’est pas telle que l’expulsion doive être invalidée. Enfin, une demande de sursis ne peut être considérée comme un motif humanitaire au sens de la jurisprudence.</w:t>
      </w:r>
    </w:p>
    <w:p>
      <w:r>
        <w:rPr>
          <w:b/>
        </w:rPr>
        <w:t>E. 4</w:t>
      </w:r>
    </w:p>
    <w:p>
      <w:r>
        <w:t>En définitive, l’appel doit être rejeté en application de l’art. 312 al. 1 CPC, dans la mesure de sa recevabilité, et l’ordonnance querellée confirmée. Les frais judiciaires de deuxième instance, arrêtés à 100 fr. (art. 69 al. 1 TFJC par renvoi de l’art. 62 al. 3 TFJC [tarif des frais judiciaires civils du 28 septembre 2010, RSV 270.11.5]), seront mis à la charge de l’appelante, qui succombe (art. 106 al. 1 CPC). Il n’y a pas matière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