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508 vom 5. Juni 2014</w:t>
      </w:r>
    </w:p>
    <w:p>
      <w:r>
        <w:t>VD Tribunal cantonal, 2014-06-05, FR</w:t>
      </w:r>
    </w:p>
    <w:p>
      <w:r>
        <w:rPr>
          <w:b/>
        </w:rPr>
        <w:t xml:space="preserve">Quelle: </w:t>
      </w:r>
      <w:r>
        <w:t>https://mcp.opencaselaw.ch/entscheid/vd_findinfo_HC___2014___508</w:t>
      </w:r>
    </w:p>
    <w:p>
      <w:r>
        <w:t>FR: VD_FINDINFO HC / 2014 / 508 du 5 juin 2014</w:t>
      </w:r>
    </w:p>
    <w:p>
      <w:r>
        <w:t>IT: VD_FINDINFO HC / 2014 / 508 del 5 giugno 2014</w:t>
      </w:r>
    </w:p>
    <w:p>
      <w:pPr>
        <w:pStyle w:val="Heading2"/>
      </w:pPr>
      <w:r>
        <w:t>Regeste</w:t>
      </w:r>
    </w:p>
    <w:p>
      <w:r>
        <w:t>ASSISTANCE JUDICIAIRE, AVOCAT, HONORAIRES | 122 al. 1 let. a CPC (CH)</w:t>
      </w:r>
    </w:p>
    <w:p>
      <w:pPr>
        <w:pStyle w:val="Heading2"/>
      </w:pPr>
      <w:r>
        <w:t>Erwägungen</w:t>
      </w:r>
    </w:p>
    <w:p>
      <w:r>
        <w:rPr>
          <w:b/>
        </w:rPr>
        <w:t>E. 1</w:t>
      </w:r>
    </w:p>
    <w:p>
      <w:r>
        <w:t>Selon l’art. 319 let. b ch. 1 CPC (Code de procédure civile du 19 décembre 2008; RS 272), le recours est recevable contre les autres décisions et ordonnances d’instruction de première instance dans les cas prévus par la loi.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Cet article prévoyant que la décision sur les frais ne peut être attaquée séparément que par un recours, c’est cette voie de droit qui est ouverte. La rémunération du conseil juridique commis d’office figure au chapitre qui réglemente l’assistance judiciaire et qui comprend les art. 117 à 123 CPC. En appliquant par analogie l’art. 119 al.</w:t>
      </w:r>
    </w:p>
    <w:p>
      <w:r>
        <w:rPr>
          <w:b/>
        </w:rPr>
        <w:t>E. 3</w:t>
      </w:r>
    </w:p>
    <w:p>
      <w:r>
        <w:t>a) La recourante conteste en premier lieu que Me E.________ soit intervenu comme conseil d’office pour son compte, faisant valoir qu’aucune procuration ou aucun mandat n’a été donné à cet avocat. b) Me E.________ a été désigné conseil d’office de la recourante dans le procès en réclamation pécuniaire l’opposant à B.R.________ par décision du 9 décembre 2004 communiquée à l’intéressée. Il résulte en outre du procès-verbal des opérations de la cause qui s’est déroulée devant la Cour civile que cet avocat est intervenu régulièrement depuis le 16 décembre 2004 jusqu’au 10 avril 2012. Il est par ailleurs le signataire de plusieurs conventions de suspension de cause et, contrairement à ce que soutient la recourante, ce ne sont pas d’autres avocats qui ont conclu ces conventions. Il ne fait donc aucun doute que l’intimé a agi dans le cadre de la procédure comme conseil d’office, sur la base d’une décision valable émanant du Bureau de l’assistance judiciaire. Le premier grief soulevé par la recourante doit ainsi être rejeté.</w:t>
      </w:r>
    </w:p>
    <w:p>
      <w:r>
        <w:rPr>
          <w:b/>
        </w:rPr>
        <w:t>E. 4</w:t>
      </w:r>
    </w:p>
    <w:p>
      <w:r>
        <w:t>a) La recourante affirme ensuite qu’aucune note d’honoraires ne lui aurait été transmise, les honoraires de son conseil d’office étant ainsi contestés « en l’absence de facture avec ses justificatifs ». b) La recourante s’est vu notifier, avec la décision attaquée, la note de frais et honoraires de son conseil d’office comportant l’ensemble des opérations avec leur durée respective. Elle a reçu également le décompte effectué par le premier juge ayant conduit à la fixation de l’indemnité, dont il résulte que ce magistrat a retenu un nombre total d’heures inférieur à celui qui avait été initialement annoncé par Me E.________, correspondant à une indemnité de 5'343 fr. 55, TVA en sus. Le premier juge a ainsi tenu compte uniquement des opérations nécessaires à l’accomplissement du mandat d’office. A noter qu’il a également retenu un montant de débours inférieur à celui que le conseil d’office avait réclamé, soit 107 fr. 60 au lieu de 150 francs. Pour le reste, la recourante ne formule aucune critique recevable sur le montant de l’indemnité arrêté en définitive et le deuxième grief doit en conséquence également être rejeté.</w:t>
      </w:r>
    </w:p>
    <w:p>
      <w:r>
        <w:rPr>
          <w:b/>
        </w:rPr>
        <w:t>E. 5</w:t>
      </w:r>
    </w:p>
    <w:p>
      <w:r>
        <w:t>La recourante fait enfin valoir que le conseil d’office n’aurait pas respecté un délai et aurait ainsi échoué dans un dossier traité à Genève. Or ces faits ne concernent pas l’accomplissement du mandat d’office visé par la présente procédure, de sorte que le grief est irrecevable.</w:t>
      </w:r>
    </w:p>
    <w:p>
      <w:r>
        <w:rPr>
          <w:b/>
        </w:rPr>
        <w:t>E. 6</w:t>
      </w:r>
    </w:p>
    <w:p>
      <w:r>
        <w:t>En définitive, le recours doit être rejeté et la décision entreprise confirmée. Les frais judiciaires de deuxième instance, arrêtés à 100 fr. (art. 69 al. 3 TFJC [tarif des frais judiciaires civils du 28 septembre 2010 ; RSV 270.11.5]), sont mis à la charge de la recourante, qui succombe (art. 106 al. 1 CPC). Par ces motifs, la Chambre des recours civile du Tribunal cantonal, statuant à huis clos, prononce : I. Le recours est rejeté. II. La décision est confirmée. III. Les frais judiciaires de deuxième instance, arrêtés à 100 fr. (cent francs), sont mis à la charge de la recourante A.R.________. IV. L’arrêt motivé est exécutoire. Le président :               La greffière : Du 5 juin 2014 Le dispositif de l’arrêt qui précède est communiqué par écrit aux intéressés. La greffière : Du L'arrêt qui précède, dont la rédaction a été approuvée à huis clos, est notifié en expédition complète, par l'envoi de photocopies, à : ‑ Mme A.R.________, ‑ Me E.________.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civile du Tribunal cantonal.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