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503 vom 1. Juli 2014</w:t>
      </w:r>
    </w:p>
    <w:p>
      <w:r>
        <w:t>VD Tribunal cantonal, 2014-07-01, FR</w:t>
      </w:r>
    </w:p>
    <w:p>
      <w:r>
        <w:rPr>
          <w:b/>
        </w:rPr>
        <w:t xml:space="preserve">Quelle: </w:t>
      </w:r>
      <w:r>
        <w:t>https://mcp.opencaselaw.ch/entscheid/vd_findinfo_HC___2014___503</w:t>
      </w:r>
    </w:p>
    <w:p>
      <w:r>
        <w:t>FR: VD_FINDINFO HC / 2014 / 503 du 1 juillet 2014</w:t>
      </w:r>
    </w:p>
    <w:p>
      <w:r>
        <w:t>IT: VD_FINDINFO HC / 2014 / 503 del 1 luglio 2014</w:t>
      </w:r>
    </w:p>
    <w:p>
      <w:pPr>
        <w:pStyle w:val="Heading2"/>
      </w:pPr>
      <w:r>
        <w:t>Regeste</w:t>
      </w:r>
    </w:p>
    <w:p>
      <w:r>
        <w:t>TRANSACTION JUDICIAIRE, PROTECTION DE L'UNION CONJUGALE | 105 al. 1 CPC (CH), 109 al. 1 CPC (CH), 241 al. 2 CPC (CH), 241 al. 3 CPC (CH)</w:t>
      </w:r>
    </w:p>
    <w:p>
      <w:pPr>
        <w:pStyle w:val="Heading2"/>
      </w:pPr>
      <w:r>
        <w:t>Erwägungen</w:t>
      </w:r>
    </w:p>
    <w:p>
      <w:r>
        <w:rPr>
          <w:b/>
        </w:rPr>
        <w:t>E. 1</w:t>
      </w:r>
    </w:p>
    <w:p>
      <w:r>
        <w:t>Par acte du 14 avril 2014, A.W.________ a fait appel de l’ordonnance de mesures protectrices de l’union conjugale précitée. Le 13 juin 2014, B.W.________, intimé, a déposé une réponse. Le 27 juin 2014, A.W.________ s’est déterminée sur cette écriture. Par prononcé du 10 juin 2014 , le Juge délégué de la Cour de céans a accordé à A.W.________ le bénéfice de l'assistance judiciaire avec effet au 14 avril 2014 dans la procédure d'appel. Par décision du 11 juin 2014, le Juge délégué de la Cour de céans a rejeté la requête d’assistance judiciaire de B.W.________, la notion d’indigence au sens de l’art. 117 let. a CPC n’étant pas réalisée au vu du salaire réalisé par l’intimé au cours des six derniers mois. B.W.________ n’ayant pas produit à l’audience d’appel de pièces complémentaires permettant d’établir les charges alléguées, il n’y a pas de raison de revenir sur cette décision. Lors de l'audience d'appel du 30 juin 2014 , les parties ont signé une convention, consignée au procès-verbal et ratifiée séance tenante par le juge délégué pour valoir arrêt sur appel de mesures protectrices de l'union conjugale, dont la teneur est la suivante: « I. L'arriéré des pensions dû par B.W.________ à A.W.________ pour l'entretien de [...] et d'elle-même jusqu'au 31 mai 2014 est arrêté à 9'000 fr. (neuf mille francs), allocations familiales comprises, payable de la manière suivante: Par un premier versement d'ici au 10 juillet 2014 au plus tard de la somme de 3'000 fr. (trois mille francs). A réception de ce montant, les poursuites n°  [...] et n°  [...] de l'Office des poursuites du district [...] seront retirées par l'appelante, sans frais pour l'intimé. Dès le 1 er août 2014 et jusqu'à extinction complète de l'arriéré, par le versement d'un montant mensuel de 800 fr. (huit cent francs). II. Chaque partie garde ses frais et renonce à l'allocation de dépens. III. La décision de première instance pour les contributions futures est réservée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(art. 122 al. 1 let. b CPC). Il n'y a pas lieu à l'allocation de dépens de deuxième instance.</w:t>
      </w:r>
    </w:p>
    <w:p>
      <w:r>
        <w:rPr>
          <w:b/>
        </w:rPr>
        <w:t>E. 4</w:t>
      </w:r>
    </w:p>
    <w:p>
      <w:r>
        <w:t>Le conseil de l'appelante a indiqué dans sa liste d'opérations avoir consacré six heures et trente-six minutes au dossier. Vu la nature du litige et les difficultés de la cause, il y a lieu d’admettre le nombre de six heures consacrées à ce dossier en procédure d’appel. Il s'ensuit qu'au tarif horaire de 180 fr., l'indemnité de Me Virginie Rodigari doit être fixée à 1’080 fr., montant auquel s'ajoutent le forfait de vacation par 120 fr., les débours par 50 fr. et la TVA sur le tout par 100 fr., soit 1’350 fr. au total. La bénéficiaire de l'assistance judiciaire est, dans la mesure de l'art. 123 CPC, tenue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sont mis à la charge de l’Etat. II. L'indemnité d'office de Me Virginie Rodigari, conseil de l'appelante, est arrêtée à 1'350 fr. (mille trois cent cinquante francs),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La greffière : Du L'arrêt qui précède, dont la rédaction a été approuvée à huis clos, est notifié à : ‑ Me Virginie Rodigari (pour l’appelante), ‑ Me Inès Feldmann (pour l’intimé).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