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2014 / 495 vom 16. Mai 2014</w:t>
      </w:r>
    </w:p>
    <w:p>
      <w:r>
        <w:t>VD Tribunal cantonal, 2014-05-16, FR</w:t>
      </w:r>
    </w:p>
    <w:p>
      <w:r>
        <w:rPr>
          <w:b/>
        </w:rPr>
        <w:t xml:space="preserve">Quelle: </w:t>
      </w:r>
      <w:r>
        <w:t>https://mcp.opencaselaw.ch/entscheid/vd_findinfo_HC___2014___495</w:t>
      </w:r>
    </w:p>
    <w:p>
      <w:r>
        <w:t>FR: VD_FINDINFO HC / 2014 / 495 du 16 mai 2014</w:t>
      </w:r>
    </w:p>
    <w:p>
      <w:r>
        <w:t>IT: VD_FINDINFO HC / 2014 / 495 del 16 maggio 2014</w:t>
      </w:r>
    </w:p>
    <w:p>
      <w:pPr>
        <w:pStyle w:val="Heading2"/>
      </w:pPr>
      <w:r>
        <w:t>Regeste</w:t>
      </w:r>
    </w:p>
    <w:p>
      <w:r>
        <w:t>CONTRAT DE VOYAGE À FORFAIT, MONNAIE DU PAYS, CULPA IN CONTRAHENDO | 84 CO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En conclusion, l’appel doit être rejeté et le jugement confirmé. Les frais judiciaires de deuxième instance, arrêtés à 1'306 fr. (art. 62   al. 1 TFJC [tarif des frais judiciaires civils du 28 septembre 2010 ; RSV 270.11.5]), sont mis à la charge de l’appelante qui succombe (art. 106 al. 1 CPC), et sont compensés avec l’avance de frais fournie (art. 111 al. 1 CPC). Ils ne comprennent par les frais de publication du présent appel, qui doivent également être supportés par l’appelante. Le chiffre III du dispositif de l’arrêt notifié le 16 mai 2014 a omis de le préciser. Dès lors qu’il s’agit d’un oubli manifeste, le dispositif peut être rectifié d’office (art. 334 al. 1 CPC). L’appelante doit verser à l’intimée la somme de 1'500 fr. à titre de dépens de deuxième instance (art. 7 al. 1 TDC [tarif des dépens en matière civile ; RSV 270.11.6]).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