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479 vom 3. Juni 2014</w:t>
      </w:r>
    </w:p>
    <w:p>
      <w:r>
        <w:t>VD Tribunal cantonal, 2014-06-03, FR</w:t>
      </w:r>
    </w:p>
    <w:p>
      <w:r>
        <w:rPr>
          <w:b/>
        </w:rPr>
        <w:t xml:space="preserve">Quelle: </w:t>
      </w:r>
      <w:r>
        <w:t>https://mcp.opencaselaw.ch/entscheid/vd_findinfo_HC___2014___479</w:t>
      </w:r>
    </w:p>
    <w:p>
      <w:r>
        <w:t>FR: VD_FINDINFO HC / 2014 / 479 du 3 juin 2014</w:t>
      </w:r>
    </w:p>
    <w:p>
      <w:r>
        <w:t>IT: VD_FINDINFO HC / 2014 / 479 del 3 giugno 2014</w:t>
      </w:r>
    </w:p>
    <w:p>
      <w:pPr>
        <w:pStyle w:val="Heading2"/>
      </w:pPr>
      <w:r>
        <w:t>Regeste</w:t>
      </w:r>
    </w:p>
    <w:p>
      <w:r>
        <w:t>DIVORCE SUR REQUÊTE COMMUNE, CONVENTION SUR LES EFFETS ACCESSOIRES DU DIVORCE, OBLIGATION D'ENTRETIEN, ENFANT, NOUVEAU MOYEN DE PREUVE | 285 al. 1 CC, 279 CPC (CH), 289 CPC (CH), 317 al. 1 CPC (CH)</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une personne qui y a un intérêt dans une cause où la valeur litigieuse de première instance, calculée selon l’art. 92 al. 2 CPC, dépasse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En l’espèce, la présente procédure a trait à la situation d’enfants mineurs. Les pièces produites en deuxième instance par l’appelant sont en conséquence recevables.</w:t>
      </w:r>
    </w:p>
    <w:p>
      <w:r>
        <w:rPr>
          <w:b/>
        </w:rPr>
        <w:t>E. 3</w:t>
      </w:r>
    </w:p>
    <w:p>
      <w:r>
        <w:t>L’appelant fait valoir que les contributions mises à sa charge par la convention ratifiée par le premier juge entament son minimum vital. a) Selon l'art. 289 CPC, la décision de divorce prise sur requête commune ne peut faire l'objet que d'un appel pour vices du consentement. Ce principe ne concerne que le principe du divorce lui-même, les effets du divorce pouvant être contestés selon les règles ordinaires, qu'ils aient été réglés d'un commun accord ou non (Tappy, CPC commenté, 2011, nn. 7 et 16 ad art. 289 CPC, pp. 1165 et 1167-1168; même auteur in: Les procédures en droit matrimonial, Procédure civile suisse/Les grands thèmes pour les praticiens, n. 162 p. 298; Fankhauser, das Scheidungsverfahren nach neuer ZPO, in La Pratique du droit de la famille [FamPra.ch] 2010, pp. 753 ss, spéc. p. 781). Toutefois, l'appel contre la transaction ratifiée n’est possible que pour faire vérifier que les conditions pour ratifier la convention étaient réunies. Cela ne limite pas l'appelant au grief du vice du consentement, mais l'autorité d'appel ne saurait réexaminer et modifier les effets convenus selon sa propre appréciation. Elle peut en revanche substituer le cas échéant à celle du premier juge sa propre appréciation sur l'admissibilité de l'accord des parties en refaisant les contrôles de la convention requis par les art. 279 ss CPC (Tappy, op. cit., n. 28 ad art. 279 CPC, p. 1115 et n. 16 ad art. 289 CPC, p. 1168; TF 5A_721/2012 du 17 janvier 2013 c. 3.3.1; JT 2013 III 67 c. 2a). b) Aux termes de l'art. 279 al. 1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iniquité manifeste. S'agissant des effets du divorce réglés d'un commun accord, l'autorité de deuxième instance ne saurait avoir une liberté d'appréciation plus grande que le premier juge. Aussi, l'autorité de deuxième instance peut uniquement tenir compte d'un vice du consentement, d'une iniquité manifeste de la convention sur les contributions d'entretien entre conjoints ou la liquidation du régime matrimonial (art. 140 al. 2 aCC [Code civil suisse du 10 décembre 1907, RS 210, dans sa teneur en vigueur jusqu'au 31 décembre 2010], respectivement art. 279 al. 1 CPC) ou d'une impossibilité ou d'une illégalité du partage des prestations de sortie (art. 141 aCC, respectivement art. 280 al. 1 let. b et c CPC; cf. Tappy, op. cit., n. 16 ad art. 289 CPC, p. 1168; JT 2013 III 67 c. 3a).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(TF 5A_599/2007 du 8 octobre 2008 c. 6.4.1; TF 5C_163/2006 du 3 novembre 2010 c. 4.1; JT 2013 III 67 c. 3a). L'art. 279 al. 1 CPC ne permet cependant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(JT 2013 III 67). c)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d)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 lorsqu'il y en a quatre (Bastons Bulletti, L'entretien après divorce: méthodes de calcul, montant, durée et limites, in SJ 2007 lI 77, spéc. p. 107 s.; RSJ 1984, n. 4, p. 392 et note; Meier/Stettler, Droit de la filiation, 4 e éd., Zurich 2009, p. 567 s.; TF 5A_84/2007 du 18 septembre 2007 c. 5.1, RDT 2007 299). Ces pourcentages ne valent en général que si le revenu du débiteur se situe entre 3'500 et 4'500 fr. par mois (ATF 116 III 110 c. 3a, JT 1993 I 162), revenu qui a toutefois été réactualisé depuis lors, de 4'500 à 6'000 fr., pour tenir compte de l'augmentation du coût de la vie (CREC II 11 juillet 2005/436). e) En l’espèce, il est certes établi que les ressources de l’appelant, soit 2'400 fr. par mois, ne lui permettent pas de couvrir son minimum vital de l’ordre de 2'300 fr. (1'200 fr. de montant de base, 805 fr. de loyer, 240 fr. 40 de primes d’assurance-maladie subsidiée à raison de 90 fr., et 50 fr. de frais de recherche d’emploi) et de payer les contributions de 250 fr. pour l’aîné respectivement de 150 fr. pour chacun des deux cadets. Toujours est-il qu’il ressort de la convention que l’appelant touchait avant sa période de chômage un revenu de l’ordre de 3'500 fr. et il y a lieu de considérer qu’il est en mesure de réaliser un tel revenu à l’avenir, ce qui est à même de rendre équitable la solution prévue par la convention ratifiée par le juge. Quant à l’application de la méthode des pourcentages, dans la mesure où actuellement le revenu de l’appelant ne se situe pas dans la fourchette de 4'500 à 6'000 fr., puisqu’il est au chômage, on peut comprendre pour quelle raison les montants des contributions ont été fixées en-dessous des 30 % pour trois enfants prévue par la pratique vaudoise. On comprend aussi que le régime des 30 % a été prévu pour la période où l’appelant aura retrouvé du travail, ce qui ne rend pas la convention litigieuse contradictoire sur ce point. L’appelant ne le soutient d’ailleurs pas. En outre, il y a lieu de relever que l’appelant était assisté d’un avocat en première instance et que les modifications apportées à l’audience à la convention ne changeaient pas du tout au tout la réglementation des contribution d’entretien. On ne saurait donc admettre que l’appelant n’a découvert cette solution qu’à l’audience et celui-ci n’a pas établi ne pas avoir saisi la portée de la convention. L’appelant a en outre confirmé à l’audience son accord quand au principe du divorce et aux termes de la convention et a renoncé à son audition séparée. Enfin, il y a lieu de considérer que la convention litigieuse, qui traite de l’ensemble des effets accessoires du divorce est complète et doit être qualifiée de claire au sens de l’art. 279 al. 1 CPC, ses termes étant dépourvus d’ambiguïté. Il s’ensuit que toutes les conditions de ratification de la convention sur les effets accessoires du divorce étaient réunies.</w:t>
      </w:r>
    </w:p>
    <w:p>
      <w:r>
        <w:rPr>
          <w:b/>
        </w:rPr>
        <w:t>E. 4</w:t>
      </w:r>
    </w:p>
    <w:p>
      <w:r>
        <w:t>Aux termes de l’art. 117 CPC, une personne a droit à l'assistance judiciaire lorsqu’elle ne dispose pas de ressources suffisantes (let. a) et que sa cause ne paraît pas dépourvue de toute chance de succès (let. b). Il ressort du dossier qu’au moment de signer la convention, lors de l’audience du 13 février 2014, l’appelant était assisté d’un avocat et il n’établit pas, dans le cadre de la procédure d’appel, ne pas avoir saisi la portée de celle-ci. Dans ces circonstances et compte tenu des considérants qui précèdent, il y a lieu d’admettre que l’appel était dénué de chance de succès. Il s’ensuit que la requête d’assistance judiciaire doit être rejetée.</w:t>
      </w:r>
    </w:p>
    <w:p>
      <w:r>
        <w:rPr>
          <w:b/>
        </w:rPr>
        <w:t>E. 5</w:t>
      </w:r>
    </w:p>
    <w:p>
      <w:r>
        <w:t>En conclusion, l’appel doit être rejeté en application de l’art. 312 al. 1 CPC, de même que la requête d’assistance judiciaire, et le jugement confirmé. Vu le rejet de l’appel, les frais judiciaires de deuxième instance, arrêtés à 600 fr. (art. 63 al. 1 TFJC [tarif du 28 septembre 2010 des frais judiciaires civils ; RSV 270.11.5]), doivent être mis à la charge de l’appelant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