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467 vom 12. Juni 2014</w:t>
      </w:r>
    </w:p>
    <w:p>
      <w:r>
        <w:t>VD Tribunal cantonal, 2014-06-12, FR</w:t>
      </w:r>
    </w:p>
    <w:p>
      <w:r>
        <w:rPr>
          <w:b/>
        </w:rPr>
        <w:t xml:space="preserve">Quelle: </w:t>
      </w:r>
      <w:r>
        <w:t>https://mcp.opencaselaw.ch/entscheid/vd_findinfo_HC___2014___467</w:t>
      </w:r>
    </w:p>
    <w:p>
      <w:r>
        <w:t>FR: VD_FINDINFO HC / 2014 / 467 du 12 juin 2014</w:t>
      </w:r>
    </w:p>
    <w:p>
      <w:r>
        <w:t>IT: VD_FINDINFO HC / 2014 / 467 del 12 giugno 2014</w:t>
      </w:r>
    </w:p>
    <w:p>
      <w:pPr>
        <w:pStyle w:val="Heading2"/>
      </w:pPr>
      <w:r>
        <w:t>Regeste</w:t>
      </w:r>
    </w:p>
    <w:p>
      <w:r>
        <w:t>MESURE PROVISIONNELLE, DIVORCE SUR DEMANDE UNILATÉRALE, OBLIGATION D'ENTRETIEN, CONJOINT, REVENU HYPOTHÉTIQUE, MODIFICATION DES CIRCONSTANCES | 176 al. 1 ch. 1 CC, 179 al. 1 CC</w:t>
      </w:r>
    </w:p>
    <w:p>
      <w:pPr>
        <w:pStyle w:val="Heading2"/>
      </w:pPr>
      <w:r>
        <w:t>Erwägungen</w:t>
      </w:r>
    </w:p>
    <w:p>
      <w:r>
        <w:rPr>
          <w:b/>
        </w:rPr>
        <w:t>E. 1</w:t>
      </w:r>
    </w:p>
    <w:p>
      <w:r>
        <w:t>F ormé en temps utile par une partie qui y a intérêt (art. 59 al. 2 let. a CPC) et portant sur des conclusions qui, capitalisée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b)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2010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Ces principes valent également lorsque la maxime inquisitoire est applicable, sauf lorsque la cause est aussi régie par la maxime d’office, par exemple en ce qui concerne la situation d’enfants mineurs, ce qui n’est pas le cas en l’espèce, le litige portant uniquement sur la contribution d’entretien du conjoint. Les parties peuvent cependant faire valoir que le juge de première instance a violé la maxime inquisitoire en ne prenant pas en considération certains faits (JT 2011 III 43 ; ATF 138 III 374 c. 4.3.2). La maxime inquisitoire sociale instituée par l’art. 272 CPC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 231 c. 4; ATF 130 II 102 c. 2.2). II n’appartient pas au tribunal de conseiller les parties du point de vue procédural (ATF 137 III 617 c. 5.2; TF 5A_2/2013 du 6 mars 2013 c. 4.2).</w:t>
      </w:r>
    </w:p>
    <w:p>
      <w:r>
        <w:rPr>
          <w:b/>
        </w:rPr>
        <w:t>E. 3</w:t>
      </w:r>
    </w:p>
    <w:p>
      <w:r>
        <w:t>a) D’après l’art. 176 al. 1 ch. 1 CC, applicable par analogie aux mesures provisionnelles (art. 276 al. 1, 2 ème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arrêts 5A_304/2013 du 1 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5A_547/2012 du 14 mars 2013 c. 4.1). b) Les mesures protectrices de l’union conjugale demeurent en vigueur même au delà de l’ouverture de la procédure de divorce. Une fois ordonnées, elles ne peuvent être modifiées par le juge des mesures provisionnelles qu’aux conditions de l’art. 179 CC (arrêts 5A_562/2013 du 24 octobre 2013 c. 3.1; 5A_535/2013 du 22 octobre 2013 c.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5A_245/2013 du 24 septembre 2013 c. 4.1;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(arrêt 5A_511/2010 du 4 février 2011 c. 2.1); pour faire valoir de tels motifs, seules les voies de recours sont ouvertes, car la procédure de modification n’a pas pour but de corriger le premier jugement, mais de l’adapter aux circonstances nouvelles (ATF 131 III 189 c. 2.7.4 p. 199; 120 II 177 c. 3a p. 178, 285 c. 4b p. 292 s.). 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 289 c. 11.1.1 p. 292; 137 III 604 c.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5A_562/2013 du 24 octobre 2013 c. 3.1).</w:t>
      </w:r>
    </w:p>
    <w:p>
      <w:r>
        <w:rPr>
          <w:b/>
        </w:rPr>
        <w:t>E. 4</w:t>
      </w:r>
    </w:p>
    <w:p>
      <w:r>
        <w:t>a) L’appelant reproche tout d’abord au premier juge d’avoir retenu, dans les charges de l’intimée, les montants de 330 fr. pour un abonnement général CFF qu’elle n’aurait pas, 461 fr. 45 d’assurance-maladie sans tenir compte des subsides qu’elle devait toucher et 200 fr. d’impôts, sans que ce montant n’ait été établi par l’intimée. Cette dernière, pour sa part, admet qu’elle n’a pas d’abonnement CFF, soutient que la prime complète d’assurance-maladie doit être retenue nonobstant un éventuel subside, celui-ci étant subsidiaire à l’obligation d’entretien, et qu’il n’apparaît pas arbitraire de retenir une charge fiscale dans ses charges, si parallèlement, celle-ci est comptée dans les charges de son époux, tout en relevant que son montant variera en fonction de la contribution d’entretien retenue. b) En l’espèce, il y a lieu de supprimer le montant de 330 fr. à titre d’abonnement CFF des charges de l’intimée, cette somme s’étant avérée injustifiée de l’aveu même de l’intéressée. Quant à l’assurance maladie de l’intimée, celle-ci a déclaré, en audience, qu’elle ne versait à ce titre que 180 fr. en raison des subsides ; dès lors qu’elle touchait déjà une pension alimentaire de 2'800 fr. avant la présente procédure, il y a lieu de considérer que ce montant ne sera en tous les cas pas revu à la baisse. Finalement, l’intimée a déclaré, en audience, que sa charge d’impôts s’élevait à 25 fr. par mois. Il se justifie dès lors de tenir compte de ce montant, cela d’autant plus que l’ordonnance attaquée tient compte de la charge fiscale de l’appelant.</w:t>
      </w:r>
    </w:p>
    <w:p>
      <w:r>
        <w:rPr>
          <w:b/>
        </w:rPr>
        <w:t>E. 5</w:t>
      </w:r>
    </w:p>
    <w:p>
      <w:r>
        <w:t>a) S’agissant de ses propres charges, l’appelant reproche au premier juge de ne pas avoir tenu compte de ses frais de repas par 300 fr. par mois. L’intimée fait valoir que les frais de repas invoqués ne sont pas établis. b) Il ressort du dossier de la cause que l’appelant n’a pas allégué de frais de repas en première instance. Or, il incombe au plaideur qui désire invoquer les faits ou moyens de preuve nouveaux devant l’instance d’appel de démontrer qu’il a fait preuve de la diligence requise, cela même lorsque la maxime inquisitoire est applicable comme en l’espèce. Tel n’est pas le cas en l’occurrence, de sorte que ces frais ne seront pas retenus.</w:t>
      </w:r>
    </w:p>
    <w:p>
      <w:r>
        <w:rPr>
          <w:b/>
        </w:rPr>
        <w:t>E. 6</w:t>
      </w:r>
    </w:p>
    <w:p>
      <w:r>
        <w:t>a) L’appelant reproche également au premier juge de ne pas avoir tenu compte, dans ses propres charges, du remboursement de la dette liée aux frais de séjour de son fils cadet aux Etats-Unis par 606 fr. par mois. Pour sa part, l’intimée soutient que ces frais n’ont pas à être pris en compte dans le charges incompressibles de son époux. b)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 2.3). c) En l’espèce, les dettes personnelles de l’appelant ont été contractées dans le but de financer le séjour de son fils cadet aux Etats-Unis. Compte tenu du fait qu’elles concernent l’entretien d’un enfant majeur, elles sont subsidiaires à la pension due à l’épouse et ne doivent pas être prises en compte dans les charges de l’appelant.</w:t>
      </w:r>
    </w:p>
    <w:p>
      <w:r>
        <w:rPr>
          <w:b/>
        </w:rPr>
        <w:t>E. 7</w:t>
      </w:r>
    </w:p>
    <w:p>
      <w:r>
        <w:t>a) L’appelant soutient encore qu’un revenu hypothétique doit être imputé à l’intimée, faisant valoir qu’ils étaient séparés depuis dix ans, que l’on pouvait s’attendre, durant la procédure de mesures protectrices de l’union conjugale déjà, à ce que l’intimée contribue elle-même à son entretien, que le juge avait, dans son prononcé du 21 mai 2013, déjà indiqué que l’on pouvait attendre d’elle qu’elle entreprenne des démarches  pour augmenter son taux d’activité dans la mesure où son enfant cadet avait atteint l’âge de seize ans, qu’elle n’avait, dans la présente procédure, pas prouvé avoir fait le nécessaire pour augmenter sa capacité financière et que la seule manière de motiver l’intimée était de supprimer la contribution d’entretien. L’intimée relève qu’elle s’est prioritairement consacrée à l’éducation de ses deux fils, qu’elle est actuellement âgée de quarante-cinq ans, que son état de santé ne lui permet pas de réaliser un revenu supérieur à celui qu’elle réalise effectivement et qu’elle n’a jamais travaillé en Suisse dans son domaine de formation. b)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arrêt 5A_587/2013 du 26 novembre 2013 c. 6.1.2). c) Le fait, pour l’intimée de tarder à entreprendre des démarches auprès de l’assurance invalidité afin d’être fixée au sujet de sa capacité de travail et de ne pas avoir fourni un certificat médical récent et détaillé au sujet de son état de santé, ne justifie pas pour autant de lui imputer un revenu hypothétique au stade des mesures provisionnelles. En effet, en plus des possibilités limitées qu’elle a d’exercer une activité lucrative en raison de la hernie discale dont elle souffre, on doit reconnaître ses difficultés sur le plan professionnel. Elle dispose en effet de diplômes turcs qui n’ont jamais été reconnus en Suisse, maîtrise mal la langue française et a été coupée du milieu professionnel des années durant pour élever ses enfants. La question de son incapacité partielle de travail doit toutefois impérativement et rapidement être clarifiée en vue du divorce à venir.</w:t>
      </w:r>
    </w:p>
    <w:p>
      <w:r>
        <w:rPr>
          <w:b/>
        </w:rPr>
        <w:t>E. 8</w:t>
      </w:r>
    </w:p>
    <w:p>
      <w:r>
        <w:t>Compte tenu de ce qui précède, les charges de l’appelant comprennent son minimum vital pour 1'200 fr., son loyer, y compris sa place de parc, pour 1'125 fr., sa redevance Swiss Caution pour 12 fr. 85, sa prime d’assurance-maladie pour 400 fr. 85, son assurance automobile pour 75 fr. 40, ses frais d’essence pour 100 fr., son abonnement de train pour 330 fr. et ses impôts pour 872 fr. 35 fr, de sorte qu’elles s’élèvent au total à 4'116 fr. 45. Sur ce point, l’ordonnance attaquée n’a pas été modifiée. Avec un revenu actuel de 7'653 fr. 90 par mois, il doit dispose d’un excédent de 3'537 fr. 45. Quant aux charges de l’intimée, elles comprennent désormais son minimum vital pour 1'200 fr., son loyer, y compris la place de parc, pour 1'430 fr., sa redevance Swiss Caution pour 21 fr. 55, son assurance-maladie pour 180 fr., son assurance automobile pour 61 fr. 60, ses frais d’essence pour 100 fr. et ses impôts pour 25 fr., de sorte qu’elles s’élèvent au total à 3'018 fr. 15. Avec un revenu actuel de 1’860 fr. par mois, elle doit supporter un déficit mensuel de 1'158 fr. 15. Après couverture du déficit de l’intimée et répartition de l’excédent à raison de 50% pour chacune des parties, on doit admettre que l’appelant est en mesure de contribuer à l’entretien de son épouse par le versement d’une pension de 2'347 fr. 40, arrondie à 2'350 francs.</w:t>
      </w:r>
    </w:p>
    <w:p>
      <w:r>
        <w:rPr>
          <w:b/>
        </w:rPr>
        <w:t>E. 9</w:t>
      </w:r>
    </w:p>
    <w:p>
      <w:r>
        <w:t>a) Il résulte de ce qui précède que l’appel déposé par A.I.________ doit être partiellement admis, le chiffre II de l’ordonnance entreprise devant être réformé en ce sens que celui-ci doit contribuer à l’entretien de son épouse par le régulier versement d’une pension mensuelle de 2’350 fr., payable d’avance le premier jour de chaque mois en mains de cette dernière, dès et y compris le 1 er avril 2014. b) Vu l’issue du litige, les frais judiciaires de deuxième instance, qui doivent être fixés à 600 fr. (art. 65 al. 2 TFJC, tarif des frais judiciaires civils du 28 septembre 2010, RSV 270.11.5) et répartis à raison de deux tiers pour l’appelant et d’un tiers pour l’intimée, seront mis à la charge de l’Etat en raison de l’assistance judiciaire octroyée aux deux parties (art. 122 al. 1 let. b CPC). A cet égard, il y aura également lieu de corriger la décision du</w:t>
      </w:r>
    </w:p>
    <w:p>
      <w:r>
        <w:rPr>
          <w:b/>
        </w:rPr>
        <w:t>E. 10</w:t>
      </w:r>
    </w:p>
    <w:p>
      <w:r>
        <w:t>juin 2014 concernant l’intimée en ce sens que l’assistance judiciaire est octroyée avec effet au 23 mai 2014. Compte tenu de l’issue du litige et de la nature de celui-ci, il se justifie en équité de compenser les dépens (art. 107 al. 1 let. c CPC). c) Me Germanier Jaquinet, conseil d’office de l’appelant, a produit une liste détaillée de ses opérations annonçant 8h30. Au vu de la complexité et de la nature de l’affaire, ce décompte sera admis à concurrence de 8 heures. L’indemnité d’office de Me Germanier Jaquinet pour la procédure de deuxième instance sera ainsi arrêtée au montant de 1'684 fr. 80, comprenant un défraiement de 1’440 fr. (8 heures au tarif horaire de 180 fr.), des frais de vacation pour 120 fr. et la TVA sur ces montants pour 124 fr. 80. d) Me Freymond, conseil d’office de l’intimée, a produit une liste détaillée de ses opérations annonçant 6h52. Au vu de la complexité et de la nature de l’affaire, ce décompte sera admis à concurrence de 6h30. L’indemnité d’office de Me Freymond pour la procédure de deuxième instance sera ainsi arrêtée au montant de 1'422 fr. 70, comprenant un défraiement de 1'170 fr. (6.5 heures au tarif horaire de 180 fr.), des frais de vacation pour 120 fr., des débours pour 27 fr. 30 et la TVA sur ces montants pour 105 fr. 40. e) Dans la mesure de l’art. 123 CPC, les bénéficiaires de l'assistance judiciaire sont tenus au remboursement de la part des frais judiciaires et de l’indemnité à leur conseil d’office mis à la charge de l’Etat. Par ces motifs, le juge délégué de la Cour d’appel civile du Tribunal cantonal, statuant à huis clos, prononce : I. L’appel est partiellement admis. II. L’ordonnance est réformée comme il suit au chiffre II de son dispositif : dit que le requérant contribuera à l’entretien de l’intimée, B.I.________, par le régulier versement d’une pension mensuelle de 2'350 fr. (deux mille trois cent cinquante francs), payable d’avance le premier jour de chaque mois en mains de cette dernière, dès et y compris le 1 er avril 2014 ; Elle est confirmée pour le surplus. III. Les frais judiciaires de deuxième instance, arrêtés à 600 fr. (six cents francs), répartis à raison de deux tiers à la charge de l’appelant A.I.________ et d’un tiers à la charge de l’intimée B.I.________, sont laissés à la charge de l'Etat. IV. L'indemnité de Me Germanier Jaquinet, conseil d'office de l’appelant, est arrêtée à 1'684 fr. 80 (mille six cent huitante-quatre francs et huitante centimes), TVA et débours compris. V. a) Le chiffre I de la décision du 10 juin 2014 concernant B.I.________ est modifié comme suit : accorde à B.I.________ le bénéfice de l’assistance judiciaire avec effet au 23 mai 2014, dans la procédure d’appel qui l’oppose à A.I.________ ; Elle est confirmée pour le surplus. b) L'indemnité de Me Freymond, conseil d'office de l’intimée, est arrêtée à 1'422 fr. 70 (mille quatre cent vingt-deux francs et septante centimes), TVA et débours compris. VI. Les bénéficiaires de l’assistance judiciaire sont, dans la mesure de l’art. 123 CPC, tenus au remboursement des frais et de l’indemnité à leur conseil d’office mis à la charge de l’Etat. VII. Il n’est pas alloué de dépens. VIII. L'arrêt est exécutoire. La juge déléguée : La greffière : Du L'arrêt qui précède, dont la rédaction a été approuvée à huis clos, est notifié à : ‑ Me Germanier Jaquinet (pour A.I.________), ‑ Me Mélanie Freymond (pour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