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464 vom 30. April 2014</w:t>
      </w:r>
    </w:p>
    <w:p>
      <w:r>
        <w:t>VD Tribunal cantonal, 2014-04-30, FR</w:t>
      </w:r>
    </w:p>
    <w:p>
      <w:r>
        <w:rPr>
          <w:b/>
        </w:rPr>
        <w:t xml:space="preserve">Quelle: </w:t>
      </w:r>
      <w:r>
        <w:t>https://mcp.opencaselaw.ch/entscheid/vd_findinfo_HC___2014___464</w:t>
      </w:r>
    </w:p>
    <w:p>
      <w:r>
        <w:t>FR: VD_FINDINFO HC / 2014 / 464 du 30 avril 2014</w:t>
      </w:r>
    </w:p>
    <w:p>
      <w:r>
        <w:t>IT: VD_FINDINFO HC / 2014 / 464 del 30 aprile 2014</w:t>
      </w:r>
    </w:p>
    <w:p>
      <w:pPr>
        <w:pStyle w:val="Heading2"/>
      </w:pPr>
      <w:r>
        <w:t>Regeste</w:t>
      </w:r>
    </w:p>
    <w:p>
      <w:r>
        <w:t>SERVITUDE, SERVITUDE FONCIÈRE | 738 CC</w:t>
      </w:r>
    </w:p>
    <w:p>
      <w:pPr>
        <w:pStyle w:val="Heading2"/>
      </w:pPr>
      <w:r>
        <w:t>Erwägungen</w:t>
      </w:r>
    </w:p>
    <w:p>
      <w:r>
        <w:rPr>
          <w:b/>
        </w:rPr>
        <w:t>E. 1</w:t>
      </w:r>
    </w:p>
    <w:p>
      <w:r>
        <w:t>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supérieure à 10'000 fr. (art. 308 al.</w:t>
      </w:r>
    </w:p>
    <w:p>
      <w:r>
        <w:rPr>
          <w:b/>
        </w:rPr>
        <w:t>E. 2</w:t>
      </w:r>
    </w:p>
    <w:p>
      <w:r>
        <w:t>CPC). En se référant au dernier état des conclusions, l’art. 308 al. 2 CPC vise les conclusions devant l’instance précédente, non l’enjeu de l’appel (Tappy, Les voies de droit du nouveau Code de procédure civile, JT 2010 III 126). En l’espèce, dans sa demande, l’appelant a indiqué qu’il estimait le coût de l’abattage à 25'000 francs. La défenderesse n’a pas contesté ce montant dans sa réponse. Dès lors, cette valeur litigieuse peut être retenue (Tappy, CPC annoté n. 43 ad art. 91 CPC). Formé en temps utile (art. 311 al. 1 CPC), par une partie qui y a intérêt (art. 59 al. 2 let. a CPC), contre une décision finale de première instance et portant sur des conclusions supérieures à 10'000 fr., l'appel interjeté est formellement recevable.</w:t>
      </w:r>
    </w:p>
    <w:p>
      <w:r>
        <w:rPr>
          <w:b/>
        </w:rPr>
        <w:t>E. 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 Tappy, op. cit, JT 2010 III 136-137). Il appartient à l’appelant de démontrer que ces conditions sont réalisées, de sorte que l’appel doit indiquer spécialement de tels faits et preuves nouveaux et motiver spécialement les raisons qui les rendent admissibles selon lui (Tappy, op. cit, JT 2010 III 136-137 ; JT 2011 III 43 c. 2). Les faits notoires, qu’il n’est pas nécessaire d’alléguer ni de prouver, sont ceux dont l’existence est certaine au point d’emporter la conviction du juge, qu’il s’agisse de faits connus de manière générale du public ou seulement de celui-ci. Pour  être notoire, un renseignement ne doit pas  être constamment présent à l’esprit ; il suffit qu’il puisse être contrôlé par des publications accessibles à chacun (ATF 135 III 88 c. 4.1 ; 134 III 224 c. 5.2 ; TF 4A_560/2012 du 1 er mars 2013 c. 2.2 ; TF 5A_62/2009 du 2 juillet 2009 c. 2.1, publié in Pra 2010 (17) p. 117 ; TF 5A_559/2008 du 21 novembre 2008 c. 4.1 ; TF 4P.40/2006 du 6 juin 2006 c. 4.3 et les références). Le juge peut rechercher et déterminer lui-même le fait notoire, sans amener les parties à se prononcer sur ce point (ATF 135 III 88 c. 5 ; TF 1B _ 368/2012 du 13 mai 2013 c. 2.2 ; TF 4P.277/1998 du 22 février 1999 c. 3d). En particulier, s’agissant d’indications figurant au registre foncier, il y a lieu de considérer qu’il s’agit de faits notoires qui ne sont pas assujettis à l’administration des preuves, ce d’autant moins que ces indications sont librement accessibles sur Internet (JT 2014 III 13 c. 2c). Les indications sur les propriétaires figurant au registre foncier sont non seulement entièrement publiques et accessibles sans légitimation spécifique, mais encore elles sont elles-mêmes présumées connues des parties et du juge, y compris les écritures pendantes au journal et non encore passées au grand livre. Elles ne nécessitent ainsi pas d’être alléguées et prouvées.</w:t>
      </w:r>
    </w:p>
    <w:p>
      <w:r>
        <w:rPr>
          <w:b/>
        </w:rPr>
        <w:t>E. 2.2</w:t>
      </w:r>
    </w:p>
    <w:p>
      <w:r>
        <w:t>En l’espèce, l’appelant a produit un bordereau de dix pièces, numérotées 9 à 18. Les pièces 9, 10 et 12 concernent des extraits du registre foncier relatifs aux parcelles nos [...] et [...] de la Commune d’[...]. Elles sont admissibles dans la mesure où elles concernent des indications ne nécessitant pas d’être alléguées et prouvées. Les pièces 11 (extrait Google earth), 15 (deux photographies de la parcelle n° [...] du 10 novembre 2013) et 16 à 18 (notes d’honoraires des 20 mars, 22 mai et 10 septembre 2013) sont antérieures à l’ordonnance attaquée. L’appelant ne démontrant pas en quoi les conditions de l’art. 317 a al. 1 CPC seraient réunies, il n’y a pas lieu d’en tenir compte. Le courrier du 20 mars 2014, produit sous pièce 13, a certes été établi après l’audience de première instance. Une pièce au contenu semblable aurait cependant pu être produite auparavant, dès lors qu’elle se rapporte à des éléments de fait qui existaient déjà lors de l’audience de jugement. L’appelant n’a pas non plus démontré en quoi les conditions de l’art. 317 a al. 1 CPC seraient réunies. La pièce 13 est donc irrecevable. Quant à l’extrait de Wikipedia concernant le Charme commun, produit sous pièce 14, il n’est pas recevable, dès lors que les renseignements qu’il contient proviennent d’une encyclopédie libre, mais non fiable, et que l’appelant n’a pas démontré en quoi les conditions de l’art. 317 a al. 1 CPC seraient réunies. 2.3.1 L’intimée fait valoir que les conclusions prises en appel seraient irrecevables, en tant qu’elles concernent désormais la parcelle n° [...] de la Commune d’[...], en lieu et place de la parcelle n° [...] de cette Commune. Or, matériellement, il s’agit toujours de la même parcelle qui demeure la propriété de l’hoirie. A la suite de la division du bien-fonds n° [...] intervenue le 15 mars 2013, la servitude litigieuse grève désormais la parcelle n° [...] . Par ailleurs, dans la mesure où l’appelant n’a découvert le changement de propriété qu’à l’audience de jugement du 20 novembre 2013 et que les modifications au registre foncier sont des faits qui ne nécessitent pas d’être allégués et prouvés, les conditions de l’art. 317 al. 2 CPC sont réalisées. 2.3.2 L’appelant avait conclu dans sa demande à l’enlèvement de toutes les plantations, à savoir les arbres et la haie sur la surface grevée par la servitude n° [...]. En concluant en appel à l’enlèvement de tous les arbres, à l’exception de trois pommiers, et à la taille d’une haie à un mètre de hauteur, il a restreint sa demande, comme le lui permet l’art. 227 al. 3 CPC. Les conclusions prises en appel sont ainsi recevables.</w:t>
      </w:r>
    </w:p>
    <w:p>
      <w:r>
        <w:rPr>
          <w:b/>
        </w:rPr>
        <w:t>E. 3.1</w:t>
      </w:r>
    </w:p>
    <w:p>
      <w:r>
        <w:t>L’appelant fait valoir que la haie litigieuse, qui serait en fait un cordon boisé composé d’arbres bas, doit être considérée comme une clôture devant respecter la hauteur d’un mètre telle que prévue par la servitude. Il convient dès lors d’examiner si les arbres plantés en 2010 par feu [...] constituent une plantation ou une haie et de déterminer si la plantation ou la haie litigieuse est conforme à la servitude n° [...].</w:t>
      </w:r>
    </w:p>
    <w:p>
      <w:r>
        <w:rPr>
          <w:b/>
        </w:rPr>
        <w:t>E. 3.2</w:t>
      </w:r>
    </w:p>
    <w:p>
      <w:r>
        <w:t>Pour déterminer le contenu et l'étendue d'une servitude, le juge doit procéder selon l'ordre des étapes prévu par l'art. 738 CC (Code civil suisse du 10 décembre 1907, RS 210) (ATF 132 III 651 c. 8; 131 III 345 c. 1.1; 130 III 554 c. 3.1). Dans une première étape, il faut se baser sur l'inscription au registre foncier et, si celle-ci est claire, elle fait règle et d'autres moyens d'interprétation ne peuvent pas être pris en considération (art. 738 al. 1 CC; ATF 128 III 169 c. 3a; 123 III 461 c. 2b). Dans une deuxième étape, si l'inscription au registre foncier est peu claire, incomplète ou, ce qui est fréquent, sommaire et nécessite des éclaircissements, la servitude doit être interprétée selon son "origine", c'est-à-dire selon le contrat constitutif de servitude, dans les limites de l'inscription (art. 738 al. 2 CC). Le contrat de servitude et le plan sur lequel est reportée l’assiette de la servitude constituent à cet égard des pièces justificatives (art. 942 al. 2 CC) . Dans une troisième étape, si le contrat constitutif de servitude n'est pas concluant, l'étendue de la servitude peut être précisée par la manière dont elle a été exercée pendant longtemps, paisiblement et de bonne foi (art. 738 al. 2 CC) (TF 5D_144/2010 du 18 janvier 2011 c. 4 et réf ; ATF 137 III 145 c. 3a ; ATF 132 III 651 c. 8). L’acte constitutif doit être interprété de la même manière que toute déclaration de volonté, à savoir, s’agissant d’un contrat, selon la réelle et commune intention des parties (art. 18 CO [Code des obligations du 30 mars 1911 ; RS 220]),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 ATF 137 III 145 c. 3.2.1 ; 132 III 268 c. 2.3.2 ; 132 III 626 c. 3.1). Ce dernier principe permet d’imputer à une partie le sens objectif de sa déclaration ou de son comportement, même si celui-ci ne correspond pas à sa volonté intime (ATF 130 III 417 c. 3.2 ; 129 III 118 c. 2.5 ; 128 III 419 c. 2.2). Il faudra tenir compte en particulier du but poursuivi par les parties lors de la constitution de la servitude (Steinauer, Les droits réels, tome II, 3 e éd., n. 2294). Vis-à-vis des tiers qui n’étaient pas parties au contrat constitutif de la servitude, ces principes d’interprétation sont toutefois limités par la foi publique attachée au registre foncier (art. 973 CC ; ATF 137 III 145 c. 3.2.2 ; 130 III 554 c. 3), lequel comprend non seulement le grand livre, mais aussi les pièces justificatives, dans la mesure où elles précisent la portée de l’inscription (art. 971 al. 2 CC repris par l’art. 738 al. 2 CC ; Steinauer, Les droit réels, tome I, 4 e éd., n. 934a ; Hohl, Le contrôle de l’interprétation des servitudes par le Tribunal fédéral, RNRF 2009 73,78). Il est alors interdit de prendre en considération, dans la détermination de la volonté subjective, les circonstances et motifs personnels qui ont été déterminants dans la formation de la volonté des constituants ; dans la mesure où ils ne résultent pas de l’acte constitutif, ils ne sont pas opposables au tiers qui s’est fondé de bonne foi sur le registre foncier (ATF 130 III 554, c. 3.1 et les réf. citées). Le résultat de l’interprétation objective devrait être ainsi le même que celui de l’interprétation subjective limitée par la foi publique (Hohl, op. cit., p. 80). 3.3.1 L’appelant fait valoir que l’on ne se trouve pas en présence d’une haie traditionnelle (par exemple de thuyas), mais d’un cordon d’arbres pouvant atteindre une hauteur de vingt mètres. Dès lors que ni l’appelant ni les intimés n’étaient parties au contrat constitutif de servitude du 12 octobre 1911, il faut se référer, pour déterminer l’objectif poursuivi par la servitude, à l’inscription et aux pièces justificatives telles que les parties pouvaient les comprendre de bonne foi, ainsi qu’au but poursuivi lors de la constitution de la servitude. Selon l’art. 38 du Code rural du 15 décembre 1848, le propriétaire d’un fonds ne pouvait le clore, par une haie vive, à une distance moindre d’un pied et demi de la ligne séparative des deux fonds (cf. également art. 16 du Code rural du 22 novembre 1911). Une haie vive est composée de plantes ligneuses, à savoir d’arbres, arbustes et arbrisseaux (Piotet, le droit privé vaudois de la propriété foncière, n. 1476 et 1107). Cette définition rejoint celle du Petit Larousse, selon laquelle une haie est un alignement d’arbres et d’arbustes qui marque l’alignement entre deux parcelles, entre deux propriétés, ou celle du Petit Robert, selon laquelle une haie est une clôture faite d’arbres, d’arbustes, d’épines ou de branchages, et servant à limiter ou à protéger un champ, un jardin. En l’occurrence, la servitude n° [...] est intitulée « interdiction de bâtir et de plantations ». Elle précise qu’il est interdit de bâtir et planter des arbres sur la partie des fonds servants figurée par une teinte rouge au plan annexé (al. 1), que les murs de clôture ne doivent pas dépasser un mètre de hauteur (al. 2) et que les arbres existant en 1911 peuvent être maintenus mais ne peuvent pas être remplacés (al. 3). L’al. 2 de la servitude vise uniquement les murs de clôture et contient une règle plus stricte que celle découlant de l’art. 35 du Code rural et foncier du 15 décembre 1848 (six pieds), respectivement de l’art. 14 du Code du 22 novembre 1911 (deux mètres). Il est inapplicable aux haies vives, même valant clôtures (qui étaient visées à l’art. 38 du Code de 1848, figurant dans un autre titre « des haies et des fossés » que les art. 34ss relatifs aux « murs de clôture »). Cette disposition montre cependant que le but de la servitude était de limiter drastiquement la hauteur des murs de clôture dans le but de préserver la vue sur le lac du fonds dominant. Rien dans le texte de la servitude ne permet d’exclure les arbres qui composent une haie : l’intitulé de la servitude inclut toutes les plantations, sans limitation de type, et son but est le maintien de la vue sur le lac depuis le fonds dominant. Cette servitude est ainsi applicable à la haie litigieuse. Ce n’est qu’en matière de distance à la limite et de hauteur des plantations, ici non en cause, qu’on doit distinguer la haie de l’arbre (cf. Piotet, op. cit. n. 1108). Reste à savoir si la servitude ne vise que les arbres proprement dits, par opposition aux arbustes et arbrisseaux ou si elle vise toutes les plantes ligneuses. Dans la mesure où le Code rural et foncier, à l’époque déjà, ne distinguait pas le régime des arbres, arbustes et arbrisseaux (cf. art. 25 du Code de 1911 ; art. 49 du Code de 1848 ; cf. Piotet, op. cit. n. 1107), soumis aux mêmes règles, on doit retenir que la servitude a une étendue large et vise toutes les plantes ligneuses, étant par ailleurs relevé que, selon la définition du Petit Larousse, même un arbrisseau peut aller jusqu’à une hauteur de quatre mètres. Sur la base du dossier de première instance, même si on ignore la nature exacte des espèces composant la haie, il apparaît clairement, au vu des photos au dossier, qu’il s’agit dans tous les cas de plantes ligneuses visées par la servitude. Cela étant, il importe peu de savoir si celles-ci sont susceptibles d’atteindre vingt mètres comme le plaide l’appelant. Le moyen est donc fondé et les conclusions 2 et 3 de l’appelant doivent donc être admises.</w:t>
      </w:r>
    </w:p>
    <w:p>
      <w:r>
        <w:rPr>
          <w:b/>
        </w:rPr>
        <w:t>E. 4</w:t>
      </w:r>
    </w:p>
    <w:p>
      <w:r>
        <w:t>L’appelant conclut à ce que les injonctions prononcées soient assorties de la menace des peines prévues par l'art. 292 CP (code pénal suisse du 21 décembre 1937 ; RS 311.0). Aux termes de l’art. 236 CPC, le tribunal ordonne des mesures d’exécution sur requête de la partie qui a eu gain de cause. Si la commination est certes envisageable (Tappy, CPC commenté, n. 20 ad art. 236 CPC), elle paraît cependant disproportionnée en l’espèce, dans la mesure où rien n’indique que les intimés n’exécuteront pas le jugement (cf. CACI 18 mars 2014/136) et que le tribunal de l’exécution pourra ordonner cette mesure si nécessaire (art. 343 al. 1 let. a CPC).</w:t>
      </w:r>
    </w:p>
    <w:p>
      <w:r>
        <w:rPr>
          <w:b/>
        </w:rPr>
        <w:t>E. 5</w:t>
      </w:r>
    </w:p>
    <w:p>
      <w:r>
        <w:t>L’appelant conclut à ce qu’interdiction soit faite aux intimés de procéder à toute plantation future d’arbre. Cette conclusion peut être admise, sans qu’il soit nécessaire de menacer les intimés des peines prévues à l’art. 292 CPC.</w:t>
      </w:r>
    </w:p>
    <w:p>
      <w:r>
        <w:rPr>
          <w:b/>
        </w:rPr>
        <w:t>E. 6</w:t>
      </w:r>
    </w:p>
    <w:p>
      <w:r>
        <w:t>En conclusion, l’appel doit être admis et le jugement de première instance réformé. Vu l’issue du litige, les frais judiciaires de première instance, arrêtés à 2'660 fr., et de deuxième instance, arrêtés à 850 fr. (art. 62 al. 1 TJFC [tarif des frais judiciaires civils du 28 septembre 2010 ; RSV 270.11.5]) sont mis à la charge des intimés qui succombent (art. 106 al. 1 CPC), solidairement entre eux. Les intimés verseront à l’appelant, solidairement entre eux, la somme de 6'400 fr. à titre de dépens de première instance et celle de 2'850 fr. à titre de dépens et de remboursement d’avance de frais de deuxième instance (art. 7 TDC [tarif des dépens en matière civile ; RSV 270.11.6] et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