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454 vom 12. Juni 2014</w:t>
      </w:r>
    </w:p>
    <w:p>
      <w:r>
        <w:t>VD Tribunal cantonal, 2014-06-12, FR</w:t>
      </w:r>
    </w:p>
    <w:p>
      <w:r>
        <w:rPr>
          <w:b/>
        </w:rPr>
        <w:t xml:space="preserve">Quelle: </w:t>
      </w:r>
      <w:r>
        <w:t>https://mcp.opencaselaw.ch/entscheid/vd_findinfo_HC___2014___454</w:t>
      </w:r>
    </w:p>
    <w:p>
      <w:r>
        <w:t>FR: VD_FINDINFO HC / 2014 / 454 du 12 juin 2014</w:t>
      </w:r>
    </w:p>
    <w:p>
      <w:r>
        <w:t>IT: VD_FINDINFO HC / 2014 / 454 del 12 giugno 2014</w:t>
      </w:r>
    </w:p>
    <w:p>
      <w:pPr>
        <w:pStyle w:val="Heading2"/>
      </w:pPr>
      <w:r>
        <w:t>Regeste</w:t>
      </w:r>
    </w:p>
    <w:p>
      <w:r>
        <w:t>REVENU HYPOTHÉTIQUE, OBLIGATION D'ENTRETIEN | 176 al. 1 CC</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(aOJF)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op. cit., n. 4 ad 318 CPC, p. 1268). Le tribunal auquel la cause est renvoyée voit sa cognition limitée par les motifs de l'arrêt de renvoi, en ce sens qu'il est lié par ce qui a déjà été jugé définitivement par le Tribunal fédéral (ATF 133 III 201 c. 4.2;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 TF 5A_336/2008 du 28 août 2008 c. 1.3 et références citées). Les considérants de l’arrêt retournant la cause pour nouvelle décision à l’autorité cantonale lient aussi le Tribunal fédéral et les parties (ATF 133 III 201 c. 4.2 ; 125 III 421 c. 2a). En l’espèce, l’arrêt du Tribunal fédéral du 10 mars 2014 enjoint au Juge délégué de ne prendre en considération au titre de pension versée par l’appelant à son ex-épouse qu’un montant de 4'000 fr. effectivement versé (c. 2.1), de ne pas prendre en considération un montant de 423 fr. au titre de remboursement d’une dette bancaire de l’appelant contractée avant le mariage  (c. 2.3) et de déterminer la situation financière de l’épouse (c. 3).</w:t>
      </w:r>
    </w:p>
    <w:p>
      <w:r>
        <w:rPr>
          <w:b/>
        </w:rPr>
        <w:t>E. 1.2</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litige ne porte que sur la contribution d'entretien du conjoint, il n’est pas soumis à la maxime d’office, mais à la maxime inquisitoire limitée et à la maxime de disposition (arrêt 5A_750/2010 du 24 janvier 2011 c. 2.1; CACI 28 juin 2012/302). En l'espèce, les parties ont produit des pièces qui, étant postérieures au prononcé de mesures protectrices de l’union conjugale du 29 mai 2013, sont recevables, à l’exception des pièces produites par l’appelant en ce qui concerne des versements qu’il aurait effectués en faveur de sa future épouse en 2011 et 2012 et qui ne sont de toute manière pas déterminantes.</w:t>
      </w:r>
    </w:p>
    <w:p>
      <w:r>
        <w:rPr>
          <w:b/>
        </w:rPr>
        <w:t>E. 2</w:t>
      </w:r>
    </w:p>
    <w:p>
      <w:r>
        <w:t>L’appelant conteste devoir une pension pour l’entretien de son épouse.</w:t>
      </w:r>
    </w:p>
    <w:p>
      <w:r>
        <w:rPr>
          <w:b/>
        </w:rPr>
        <w:t>E. 2.1</w:t>
      </w:r>
    </w:p>
    <w:p>
      <w:r>
        <w:t>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 citées). Lorsque les ressources disponibles ne suffisent pas à satisfaire les deux minima vitaux (situation dite d’ « Unterdeckung »), on commencera par servir au débiteur son minimum vital et la prestation alimentaire sera égale au solde disponible, après le prélèvement du minimum vital du débiteur (Perrin, La méthode du minimum vital, SJ 1993 p. 4439).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135 III 66; ATF 133 III 57 c. 3, JT 2007 I 351).</w:t>
      </w:r>
    </w:p>
    <w:p>
      <w:r>
        <w:rPr>
          <w:b/>
        </w:rPr>
        <w:t>E. 2.2</w:t>
      </w:r>
    </w:p>
    <w:p>
      <w:r>
        <w:t>L’appelant soutient qu’il était convenu avec sa future épouse qu’elle travaillerait, afin de le soutenir financièrement et qu’il faut se référer, la reprise de la vie commune n’étant pas vraisemblable, aux critères applicables à l’entretien après divorce. Il fait valoir que le mariage n’ayant duré que peu de temps, les conditions antérieures à sa célébration sont déterminantes pour fixer la contribution d’entretien. Il soutient enfin qu’il faut imputer à l’épouse un revenu hypothétique dès la séparation des parties. En cas de séparation, les époux doivent s’adapter aux circonstances nouvelles qui en découlent ; ainsi un projet de vie décidé en commun ne peut plus se réaliser et ne doit plus être pris en considération (FamPra.ch 2011 p. 165 n° 2 c.2.2). Lorsque la reprise de la vie commune, et donc le maintien de la répartition antérieure des tâches, ne sont ni recherchés ni vraisemblables, le but de l’indépendance financière des époux, notamment de celui qui n’exerçait pas d’activité lucrative, ou seulement à temps partiel, gagne en importance et il faut dès lors se référer aux critères applicables après le divorce (ATF 137 III 385 c. 3.1).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septembre.2011 ; Juge délégué CACI 8 mai 2014/244, c. 3.2). En l’espèce, même si les époux avaient décidé ensemble que l’intimée se consacrerait aux tâches du ménage et que son mari l’entretiendrait en contrepartie, ce que l’appelant conteste, le fait que les époux se soient séparés et n’envisagent pas de reprendre la vie commune implique que l’intimée prenne ou étende son activité lucrative. Or, la séparation effective des époux datant du 15 mars 2013, on ne saurait reprocher à l’intimée, qui n’était jamais venue en Europe avant le mois de mai 2012, a dû se réfugier au Centre d’accueil de MalleyPrairie en décembre de la même année et s’est vu notifier par son mari, durant ce même mois, une requête de séparation, de ne s’être pas immédiatement inscrite auprès d’un office régional de placement. Elle a toutefois effectué, en janvier 2013, un pré-stage non rémunéré, qui n’a pas débouché sur une place fixe bien qu’il se fût bien déroulé et, en février 2013, fait sans succès des offres spontanées auprès d’hôtels à Villars-sur-Ollon. Dès le mois de mai 2013, elle a perçu les indemnités de l’assurance chômage, puis a travaillé au service de [...] jusqu’au 30 avril 2014. Elle a été engagée dès le 1 er mai 2014 en qualité d’aide-infirmière auprès d’un EMS et il ne saurait lui être reproché d’avoir quitté un travail sur appel pour un emploi de durée indéterminée, même s’il s’agit d’une activité à temps partiel, ce d’autant que celle-ci est susceptible de déboucher ultérieurement sur une activité à plein temps. Dans ces circonstances, il ne peut être imputé un revenu hypothétique à la crédirentière et la contribution pécuniaire que le juge est appelé à fixer ne prendra en considération que les indemnités de l’assurance chômage et produits du travail de l’intimée. 2.3.1 Parmi les charges participant à l’établissement de son minimum vital, l’appelant invoque des frais de traitement dentaire de quelque 15'000 francs. Compte tenu de ce que le produit de la vente récente du chalet dont il était copropriétaire avec son ex-épouse lui permet de les assumer, il serait inéquitable de considérer qu’il s’agit d’une charge grevant son revenu et diminuant ainsi sa faculté de contribuer à l’entretien de son épouse, alors que celle-ci ne réalise qu’un revenu peu important. Il y a dès lors lieu d’en faire abstraction. Il en va de même s’agissant du remplacement du véhicule de l’appelant, si tant est qu’il soit nécessaire à celui-ci pour ses trajets professionnels. La preuve d’une telle nécessité n’a pas été rapportée (le lieu de travail de l’appelant n’a pas été déterminé quand bien même on peut supposer qu’il travaille à Berne) et les frais d’un abonnement général CFF, dont il est notoire qu’ils s’élèvent à 330 fr. par mois, ont été retenus à ce titre. Il serait de toute manière inéquitable de prendre en considération des frais d’achat de véhicule dans le calcul de la contribution d’entretien, alors que l’appelant est en mesure d’acquérir une nouvelle voiture au moyen de la fortune (de l’ordre de 70'000 fr.) dont il dispose désormais. Dès lors que l’appelant vit avec son fils et entretient des relations personnelles avec sa fille, il convient de retenir une base mensuelle pour un débiteur monoparental de 1'350 fr. et un montant de 150 fr. pour l’exercice du droit de visite. Les charges incompressibles de l’appelant sont dès lors les suivantes : Base mensuelle 1’350 fr. Droit de visite 150 fr. Contribution d’entretien 4’000 fr. Loyer 1’450 fr. Assurance-maladie 418 fr. Abonnement général 330 fr. Frais de repas 218 fr. Total 7'916 fr. Le revenu mensuel net de l’appelant ayant été arrêté à 8'541 fr., le disponible dont dispose le débiteur après paiement de ses charges incompressibles est donc de 625 francs. 2.3.2 Du 15 mars 2013 au 30 avril 2014, les charges participant au minimum vital de l’intimée se présentaient comme il suit : Base mensuelle 1’200 fr. Assurance-maladie 80 fr. Frais de transport 100 fr. Total 1'380 fr. Le revenu mensuel net moyen de l’intimée durant cette période s’élevant à 1'120 fr., le déficit de celle-ci s’élevait 260 francs. Le solde à disposition des époux s’élève à 365 fr. (625 fr. - 260 fr.) et doit être réparti entre les époux. Dès le 15 mars 2012, la contribution en faveur de l’épouse doit dès lors être arrêtée à 442 fr. 50 (260 fr. + 182 fr. 50), montant arrondi à 450 francs. Dès le 1 er mai 2014, les charges de l’intimée sont les suivantes : Base mensuelle 1’200 fr. Loyer 1'000 fr. Assurance-maladie 200 fr. Frais de transport 100 fr. Total 2’500 fr. Rapportées aux revenus (1'800 fr.), les charges laissent apparaître un déficit de 700 francs. Le minimum vital de l’appelant devant être préservé (cf. supra c. 2.1), la contribution doit être fixée au montant du disponible revenant à celui-ci, à savoir 625 francs.</w:t>
      </w:r>
    </w:p>
    <w:p>
      <w:r>
        <w:rPr>
          <w:b/>
        </w:rPr>
        <w:t>E. 3</w:t>
      </w:r>
    </w:p>
    <w:p>
      <w:r>
        <w:t>Au vu de ce qui précède, l’appel doit être partiellement admis et le prononcé entrepris réformé dans le sens qui précède. L’autorité supérieure arrête elle-même les frais et dépens de deuxième instance. En l’occurrence, aucune des parties n’obtenant entièrement gain de cause et dès lors qu’en droit matrimonial il peut être statué en équité (art. 107 al. 1 let. c CPC), il se justifie de répartir les frais par moitié et de compenser les dépens (art. 106 al. 2 CPC).</w:t>
      </w:r>
    </w:p>
    <w:p>
      <w:r>
        <w:rPr>
          <w:b/>
        </w:rPr>
        <w:t>E. 4</w:t>
      </w:r>
    </w:p>
    <w:p>
      <w:r>
        <w:t>Conformément à l’art. 117 CPC, le droit à l’assistance judiciaire suppose l’indigence du requérant et que sa cause ne paraît pas dénuée de chance de succès. Une personne ne dispose pas de ressources suffisantes si elle doit entamer les sommes nécessaires à l’entretien indispensable pour elle et sa famille (TF 5A_32/2014 du 8 avril 2014 c. 2 ). En l’espèce, l’appelant avait annoncé dans sa demande d’assistance judiciaire, le 4 juin 2013, au chapitre de la fortune, qu’il était co-propriétaire avec son ex-épouse d’un chalet. Cet immeuble a été vendu et le bénéfice revenant à l’appelant suffit à assurer la défense de ses intérêts, de sorte que sa requête d’assistance judiciaire pour la procédure d’appel doit être rejetée. Par ces motifs, Le Juge délégué de la Cour d’appel civile du Tribunal cantonal, statuant à huis clos, prononce : I. L’appel est partiellement admis. II. L’ordonnance est réformée au chiffre II de son dispositif comme il suit : II. dit que V.________ contribuera à l’entretien de son épouse P.________ par le régulier versement d’une pension mensuelle, payable d’avance le premier jour de chaque mois en mains de celle-ci, de 450 fr. (quatre cent cinquante francs) à compter du 15 mars 2013 et de 625 fr. (six cent vingt-cinq francs) à compter du 1 er mai 2014. L’ordonnance est confirmée pour le surplus. III. Les frais judiciaires de deuxième instance, arrêtés à 600 fr. (six cents francs), sont mis à la charge de l’appelant , par 300 fr,. (trois cents francs) et à la charge de l’intimée, par 300 fr. (trois cents francs). IV. La requête d’assistance judiciaire de l’appelant est rejetée. V. L’intimée P.________ doit verser à l’appelant V.________ la somme de 300 fr. (trois cents francs) à titre de restitution d’avance de frais de deuxième instance. VI. Les dépens sont compensés. VII. L’arrêt motivé est exécutoire. Le président : Le greffier : Du L'arrêt qui précède, dont la rédaction a été approuvée à huis clos, est notifié à : ‑ Me Laure Chappaz (pour V.________), ‑ Me Anne-Luce Julsaint Buonomo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