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452 vom 6. Juni 2014</w:t>
      </w:r>
    </w:p>
    <w:p>
      <w:r>
        <w:t>VD Tribunal cantonal, 2014-06-06, FR</w:t>
      </w:r>
    </w:p>
    <w:p>
      <w:r>
        <w:rPr>
          <w:b/>
        </w:rPr>
        <w:t xml:space="preserve">Quelle: </w:t>
      </w:r>
      <w:r>
        <w:t>https://mcp.opencaselaw.ch/entscheid/vd_findinfo_HC___2014___452</w:t>
      </w:r>
    </w:p>
    <w:p>
      <w:r>
        <w:t>FR: VD_FINDINFO HC / 2014 / 452 du 6 juin 2014</w:t>
      </w:r>
    </w:p>
    <w:p>
      <w:r>
        <w:t>IT: VD_FINDINFO HC / 2014 / 452 del 6 giugno 2014</w:t>
      </w:r>
    </w:p>
    <w:p>
      <w:pPr>
        <w:pStyle w:val="Heading2"/>
      </w:pPr>
      <w:r>
        <w:t>Regeste</w:t>
      </w:r>
    </w:p>
    <w:p>
      <w:r>
        <w:t>RESTITUTION DU DÉLAI | 147 CPC (CH), 148 CPC (CH)</w:t>
      </w:r>
    </w:p>
    <w:p>
      <w:pPr>
        <w:pStyle w:val="Heading2"/>
      </w:pPr>
      <w:r>
        <w:t>Erwägungen</w:t>
      </w:r>
    </w:p>
    <w:p>
      <w:r>
        <w:rPr>
          <w:b/>
        </w:rPr>
        <w:t>E. 1</w:t>
      </w:r>
    </w:p>
    <w:p>
      <w:r>
        <w:t>Le requérant fait valoir en substance qu’il n’a compris l’enjeu du litige qu’après avoir reçu l’arrêt dans sa version traduite, qu’il n’a ainsi pas été à même de saisir le contenu de la demande en justice, puis de l’appel, ce qui l’aurait empêché de se défendre de manière pertinente. a) Selon l’art. 148 CPC (Code de procédure civile du 19 décembre 2008 ; RS 272),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Aux termes de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b) En l’occurrence, le requérant ne saurait être considéré comme partie défaillante dans le cadre de la procédure d’appel qui a donné lieu à la décision du 20 janvier 2014, qui n’est précisément pas un arrêt rendu par défaut. En effet, une demande de restitution porte sur un éventuel délai manqué; or, en l’occurrence, U.________ a bel et bien reçu un délai pour répondre, ce qu’il a fait par acte du 19 octobre 2013. Au demeurant, les arguments énoncés par le requérant dans sa réponse démontrent que ce dernier – contrairement à ce qu’il prétend – a bien compris les tenants et aboutissants de la cause.</w:t>
      </w:r>
    </w:p>
    <w:p>
      <w:r>
        <w:rPr>
          <w:b/>
        </w:rPr>
        <w:t>E. 2</w:t>
      </w:r>
    </w:p>
    <w:p>
      <w:r>
        <w:t>Par conséquent, la requête de restitution de délai doit être rejetée. L’arrêt est rendu sans frais (art. 11 TFJC [Tarif des frais judiciaires civil du 28 septembre 2010, RSV 270.11.5]), sous réserve des frais de traduction éventuels à intervenir.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