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447 vom 15. Mai 2014</w:t>
      </w:r>
    </w:p>
    <w:p>
      <w:r>
        <w:t>VD Tribunal cantonal, 2014-05-15, FR</w:t>
      </w:r>
    </w:p>
    <w:p>
      <w:r>
        <w:rPr>
          <w:b/>
        </w:rPr>
        <w:t xml:space="preserve">Quelle: </w:t>
      </w:r>
      <w:r>
        <w:t>https://mcp.opencaselaw.ch/entscheid/vd_findinfo_HC___2014___447</w:t>
      </w:r>
    </w:p>
    <w:p>
      <w:r>
        <w:t>FR: VD_FINDINFO HC / 2014 / 447 du 15 mai 2014</w:t>
      </w:r>
    </w:p>
    <w:p>
      <w:r>
        <w:t>IT: VD_FINDINFO HC / 2014 / 447 del 15 maggio 2014</w:t>
      </w:r>
    </w:p>
    <w:p>
      <w:pPr>
        <w:pStyle w:val="Heading2"/>
      </w:pPr>
      <w:r>
        <w:t>Regeste</w:t>
      </w:r>
    </w:p>
    <w:p>
      <w:r>
        <w:t>MESURE PROVISIONNELLE, DIVORCE, OBLIGATION D'ENTRETIEN, ENFANT | 179 CC</w:t>
      </w:r>
    </w:p>
    <w:p>
      <w:pPr>
        <w:pStyle w:val="Heading2"/>
      </w:pPr>
      <w:r>
        <w:t>Erwägungen</w:t>
      </w:r>
    </w:p>
    <w:p>
      <w:r>
        <w:rPr>
          <w:b/>
        </w:rPr>
        <w:t>E. 1</w:t>
      </w:r>
    </w:p>
    <w:p>
      <w:r>
        <w:t>a) 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al. 1 CPC pour l’introduction de faits ou de moyens de preuve nouveaux s’appliquent de même aux cas régis par la maxime inquisitoire. Une solution plus souple peut être envisagée lorsque la cause est en outre régie par la maxime d’office, par exemple sur la situation des enfants mineurs en droit matrimonial (Tappy, op. cit., JT 2010 III 139), à tout le moins lorsque le juge de première instance a violé la maxime inquisitoire illimitée (JT 2011 III 43 et références citées). En l’espèce, dès lors que le litige a trait notamment à l’entretien d’un enfant mineur, il est régi par la maxime inquisitoire illimitée de l’art. 296 CPC (Hohl, Procédure civile, tome II, 2 e éd., Berne 2010, nn. 1166 ss et 2414 ss). Les pièces produites par l’appelant, soit les factures relatives à des travaux de toitures et de révision de citernes, les conditions générale d’assurance de la Société suisse d’assurance contre la grêle ainsi que le document attestant de sa dette en faveur de ses parents, sont donc susceptibles d’être examinées par le juge de l’appel en application de l’art. 317 al. 1 CPC.</w:t>
      </w:r>
    </w:p>
    <w:p>
      <w:r>
        <w:rPr>
          <w:b/>
        </w:rPr>
        <w:t>E. 3</w:t>
      </w:r>
    </w:p>
    <w:p>
      <w:r>
        <w:t>a) L’appelant reproche au premier juge de n’avoir pris en considération que les résultats d’exploitation 2011 et 2012 pour fonder son jugement, et d’avoir écarté certaines dettes de l’appelant. Il soutient avoir accepté de signer la convention du 1 er novembre 2012 par gain de paix et dans l’attente du jugement de divorce à intervenir, alors qu’il rencontrait déjà de graves difficultés financières. En particulier, il invoque les remboursements de dettes par 40’885 fr. sur l’année 2012, constitués par des remboursements à l’Office de crédit agricole à hauteur de 2’069 fr. par mois ainsi qu’auprès des impôts à hauteur de 2’200 fr. par mois. L’appelant indique également avoir dû entreprendre, en 2013, des travaux de mise en conformité des installations électriques des écuries, ensuite d’une sommation de la Romande énergie, pour un montant de 9'115 fr. 20. S’agissant du montant de 70'000 fr. qui lui a été versé par l’assurance-grêle, l’appelant relève que conformément aux conditions générales de son assurance, 6 % des dégâts subis restent à sa charge. Il fait en outre valoir qu’il a dû emprunter une somme totale de 20'000 fr. à ses parents en 2013 pour s’acquitter des charges courantes et de la contribution d’entretien due aux siens. L’appelant invoque par ailleurs des charges nouvelles en relation avec les réparations du toit de sa ferme, la révision de ses citernes d’eau, et l’engagement d’une nouvelle palefrenière. Il aurait enfin subi une baisse de revenus du fait de la diminution d’un tiers du nombre des chevaux en pension. b) Le tribunal peut ordonner des mesures provisionnelles après la dissolution du mariage, tant que la procédure relative aux effets du divorce n’est pas close (art. 276 al. 3 CPC). Cette situation peut se présenter, par exemple, lorsqu’un ou plusieurs effets du divorce est contesté par voie d’appel, et non la dissolution du mariage (cf. art. 315 al. 1 in fine CPC, qui dispose que l’appel suspend la force de chose jugée et le caractère exécutoire de la décision dans la mesure des conclusions prises en appel). En principe, des mesures provisionnelles postérieures à la dissolution du mariage continuent à obéir aux règles régissant les rapports entre gens mariés, en particulier s’agissant du devoir d’entretien entre époux (art. 163 s. CC), à l’exclusion des règles moins généreuses des art. 125 ss CC sur l’entretien après divorce. La dissolution du mariage n’est pas non plus en soi un élément qui suffirait à justifier un réexamen du régime provisionnel existant. Il faut réserver cependant l’interdiction générale de l’abus de droit pouvant consister à prolonger un procès pour toucher plus longtemps des pensions provisionnelles ; certains arrêts cantonaux ou auteurs admettent d’ailleurs, à propos de l’ancien art. 137 aI. 2, 2 e phrase CC que celles-ci pourraient être réduites ou supprimées s’il est très probable, au vu de la décision de première instance, que l’intéressé n’aura finalement pas droit à une contribution d’entretien au sens de l’art. 125 CC (Tappy, in Bohnet et al. [éd.], Code de procédure civile commenté, n. 47 s. ad art. 276 CPC et les références citées). Une fois ordonnées, les mesures protectrices de l’union conjugale ne peuvent être modifiées qu’aux conditions de l’art. 179 CC. Cette disposition s’applique également à la requête de mesures provisionnelles tendant à modifier les mesures protectrices prononcées auparavant (TF 5A_502/2010 du 25 juillet 2011 c. 3.2.2, publié in: FamPra.ch 2011 p. 993). Ces mesures ne peuvent être modifiées que si, depuis leur prononcé, les circonstances de fait ont changé d’une manière essentielle et durable, ou encore si le juge s’est fondé sur des faits erronés (TF 5A_400/2012 du 25 février 2013 c. 4.1; TF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Par contre, une mauvaise appréciation, en fait ou en droit, des circonstances initiales (TF 5A_511/2010 du 4 février 2011 c. 2.1; TF 5A_618/2009 du 14 décembre 2009 c. 3.2.2) ne peut être invoquée, seules les voies de recours étant ouvertes pour faire valoir de tels motifs (TF 5A_147/2012 du 26 avril 2012 c. 4.2.1). c) En l’espèce, comme l’a retenu à raison le premier juge, il convient de déterminer si des faits nouveaux, justifiant une modification du montant de la contribution d’entretien, sont intervenus dans la situation respective des parties depuis la signature de la convention ratifiée par le Juge délégué de la Cour d’appel civile le 1 er novembre 2012; il s’agit seulement, au besoin, d’adapter les mesures ordonnées à l’évolution de la situation. Dans la mesure où l’appelant allègue que lors de l’audience d’appel du 1 er novembre 2012, il éprouvait déjà d’importantes difficultés financières, il ne saurait invoquer une modification de circonstances. De même, les remboursements de dette par 40’885 fr. sur l’année 2012, constitués par des remboursements à l’Office de crédit agricole à hauteur de 2’069 fr. par mois ainsi qu’auprès des impôts à hauteur de 2’200 fr. par mois, selon attestation du 31 août 2012, étaient déjà connus lors de l’audience d’appel du 1 er novembre 2012. L’appelant n’a par ailleurs pas rendu vraisemblable une diminution de ses revenus nets depuis l’audience d’appel du 1 er novembre 2012, que ce soit par une diminution des recettes ou par une augmentation des charges. Il a en effet admis qu’il avait reçu de l’assurance la somme de 70'000 fr. pour les dégâts dus à la grêle, en précisant de manière tardive — et donc en principe irrecevable (art. 317 al. 1 let. a CPC) — dans son appel que, conformément aux conditions générales d’assurance, 6% des dommages indemnisables restaient à la charge de l’assuré à titre de franchise. Il a en outre admis, s’agissant des dommages subis au toit, que l’établissement cantonal d’assurance (ECA) lui payait la main d’oeuvre, mais pas les pièces de rechange; à cet égard, l’appelant n’établit pas que la facture du 16 février 2014 pour des « travaux de toiture suite au fort vent du 7 août 2013 » serait à sa seule charge, ayant d’ailleurs indiqué que le dossier relatif à la réparation du toit se trouvait encore aux mains de I’ECA. Il n’établit pas davantage que la révision de diverses citernes et le contrôle périodique des installations électriques engendreraient une augmentation extraordinaire des dépenses globales d’entretien par rapport aux années précédentes, qui entraînerait une réduction considérable de ses revenus nets, sachant que les travaux d’entretien, dans une exploitation agricole, doivent normalement pouvoir être répartis de manière relativement constante d’une année à l’autre. Enfin, ses affirmations sur la réduction du nombre de chevaux en pension et la baisse de recettes qui en découlerait ne sont étayées par aucune pièce et on ne voit pas en quoi le fait d’avoir dû engager une nouvelle palefrenière en raison du départ de la précédente aurait engendré des dépenses supplémentaires, d’autant moins si le nombre de chevaux en pension a diminué.</w:t>
      </w:r>
    </w:p>
    <w:p>
      <w:r>
        <w:rPr>
          <w:b/>
        </w:rPr>
        <w:t>E. 4</w:t>
      </w:r>
    </w:p>
    <w:p>
      <w:r>
        <w:t>a) L’appelant soutient également que le système des mesures provisionnelles avait duré trop longtemps, et qu’un revenu hypothétique aurait dû être imputé à l’intimée dans la mesure où elle avait la capacité d’augmenter son taux d’activité. De plus, le mariage était de courte durée et n’aurait eu aucun impact sur l’intimée. b) L’argument selon lequel le système de mesures provisionnelles aurait trop duré n’est pas pertinent, comme l’a relevé à raison le premier juge, dès lors que la longueur de la procédure au fond, dans un divorce contradictoire, pouvait déjà être envisagée au début du mois de novembre 2012, au moment de la signature de la convention ratifiée par la Juge déléguée de la Cour de céans. On ne discerne par ailleurs de la part de l’intimée aucun abus de droit qui consisterait à prolonger le procès pour toucher plus longtemps des pensions provisionnelles. Enfin, il n’y a pas lieu d’imputer à l’intimée un revenu hypothétique, supérieur à ses revenus réels et qui était déjà envisagé au moment de la signature de la convention du 1 er novembre 2012, dès lors que le jugement de divorce a rejeté les prétentions de M.________ tendant au versement d’une pension après divorce. Il résulte de ce qui précède que le premier juge a considéré à bon droit que l’appelant n’avait pas rendu vraisemblable une modification de sa situation financière depuis la convention ratifiée le 1 er novembre 2012 et que les conclusions de la requête de mesures provisionnelles du 22 octobre 2013 devaient par conséquent être rejetées.</w:t>
      </w:r>
    </w:p>
    <w:p>
      <w:r>
        <w:rPr>
          <w:b/>
        </w:rPr>
        <w:t>E. 5</w:t>
      </w:r>
    </w:p>
    <w:p>
      <w:r>
        <w:t>En définitive, l’appel, mal fondé, doit être rejeté dans la procédure de l’art. 312 al. 1 CPC, ce qui entraîne la confirmation de l’ordonnance entreprise. Les frais judiciaires de deuxième instance, qui doivent être arrêtés à 600 fr. (art. 65 al. 2 TFJC [tarif des frais judiciaires civils du 28 septembre 2010; RSV 270.11.5]), seront mis à la charge de l’appelant, qui succombe (art.106 al. 1 CPC). L’intimée n’ayant pas été invitée à se déterminer sur l’appel, il n’y a pas lieu d’allouer de dépens de deuxième instance.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Q.________. IV. Il n’est pas alloué de dépens de deuxième instance. V. L’arrêt motivé est exécutoire. Le juge délégué : La greffière : Du 12 juin 2014 Le dispositif de l'arrêt qui précède est communiqué par écrit aux intéressés. La greffière : Du L'arrêt qui précède, dont la rédaction a été approuvée à huis clos, est notifié en expédition complète, par l'envoi de photocopies, à : ‑ Me Mireille Loroch, avocate (pour Q.________), ‑ Me Pascal Rytz, avocat (pour 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