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444 vom 14. Mai 2014</w:t>
      </w:r>
    </w:p>
    <w:p>
      <w:r>
        <w:t>VD Tribunal cantonal, 2014-05-14, FR</w:t>
      </w:r>
    </w:p>
    <w:p>
      <w:r>
        <w:rPr>
          <w:b/>
        </w:rPr>
        <w:t xml:space="preserve">Quelle: </w:t>
      </w:r>
      <w:r>
        <w:t>https://mcp.opencaselaw.ch/entscheid/vd_findinfo_HC___2014___444</w:t>
      </w:r>
    </w:p>
    <w:p>
      <w:r>
        <w:t>FR: VD_FINDINFO HC / 2014 / 444 du 14 mai 2014</w:t>
      </w:r>
    </w:p>
    <w:p>
      <w:r>
        <w:t>IT: VD_FINDINFO HC / 2014 / 444 del 14 maggio 2014</w:t>
      </w:r>
    </w:p>
    <w:p>
      <w:pPr>
        <w:pStyle w:val="Heading2"/>
      </w:pPr>
      <w:r>
        <w:t>Regeste</w:t>
      </w:r>
    </w:p>
    <w:p>
      <w:r>
        <w:t>VISITE, INTÉRÊT DE L'ENFANT | 273 CC, 274 CC</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b CPC (Code de procédure civile du 19 décembre 2008; RS 272) (Tappy, Les voies de droit du nouveau Code de procédure civile, JT 2010 III 121). Les ordonnances de mesures protectrices de l'union conjugale étant régies par la procédure sommaire, selon l’art. 271 CPC, le délai pour l’introduction de l’appel est de dix jours (art. 314 al. 1 CPC). L’appel est de la compétence du juge unique (art. 84 al. 2 LOJV [loi d’organisation judiciaire du 12 décembre 1979; RSV 173.01]). En l'espèce, formé en temps utile par une partie qui y a intérêt (art. 59 al. 2 let. a CPC) et portant sur des conclusions non patrimoniales,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(Tappy, Les voies de droit du nouveau Code de procédure civile, JT 2011 III 43 et les réf. citées).</w:t>
      </w:r>
    </w:p>
    <w:p>
      <w:r>
        <w:rPr>
          <w:b/>
        </w:rPr>
        <w:t>E. 3</w:t>
      </w:r>
    </w:p>
    <w:p>
      <w:r>
        <w:t>L’appelante considère que le premier juge a abusé de son pouvoir d’appréciation en limitant son droit de visite à l’égard de son fils de manière disproportionnée. Elle conclut à la restauration de son droit de visite à l’égard de ce dernier, tel qu’il résulte du jugement de divorce du</w:t>
      </w:r>
    </w:p>
    <w:p>
      <w:r>
        <w:rPr>
          <w:b/>
        </w:rPr>
        <w:t>E. 3.1</w:t>
      </w:r>
    </w:p>
    <w:p>
      <w:r>
        <w:t>Aux termes de l’art. 273 al. 1 CC, le parent qui ne détient pas l’autorité parentale ou la garde ainsi que l’enfant mineur ont réciproquement le droit d’entretenir les relations personnelles indiquées par les circonstances. L’art. 274 al. 2 CC dispose que ce droit peut cependant être limité pour de justes motifs, notamment lorsque le développement corporel, psychique ou moral de l’enfant est compromis, même momentanément, par le comportement du parent avec lequel il est en communauté. Autrefois considéré comme un droit naturel des parents, le droit aux relations personnelles est désormais conçu à la fois comme un droit et un devoir de ceux-ci (cf. art. 273 al. 2 CC); il est cependant également considéré comme un droit de la personnalité de l'enfant qui doit servir en premier lieu l'intérêt de celui-ci (ATF 131 III 209 c. 5; ATF 123 III 445 c. 3b ; TF 5A_756/2013 du 9 janvier 2014 c. 5.1.2; TF 5A_716/2010 du 23 février 2011 c. 4 et réf., FamPra.ch 2011 p. 491). Le droit aux relations personnelles vise à sauvegarder le lien existant entre parents et enfants (Hegnauer, Droit suisse de la filiation et de la famille, 4 e éd., Berne 1998, adaptation française par Meier, n. 19.20, p. 116). Le Tribunal fédéral relève à cet égard qu'il est unanimement reconnu que le rapport de l'enfant avec ses deux parents est essentiel et qu'il peut jouer un rôle décisif dans le processus de recherche d'identité de l'enfant (ATF 127 III 295 c. 4a ; ATF 123 III 445 précité c. 3c).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et les éventuels intérêts des parents sont à cet égard d’importance secondaire (ATF 130 III 585 c. 2.1, JT 2005 I 206). Le retrait de tout droit à des relations personnelles constitue l' ultima ratio et ne peut être ordonné dans l'intérêt de l'enfant que si les effets négatifs des relations personnelles ne peuvent être maintenus dans des limites supportables pour l'enfant (TF 5A_172/2012 du 16 mai 2012 c. 4.1.1).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à garantir la protection de l'enfant (FamPra.ch 2008 p. 173). Pour prendre une telle décision, le juge des mesures protectrices dispose d’un large pouvoir d’appréciation au sens de l’art. 4 CC et fait application du principe de proportionnalité (Chaix, Commentaire romand du Code civil, Bâle 2010, n. 20 ad art. 176 CC ; TF 5A_826/2009 du 22 mars 2010 c. 2.1). L’importance à accorder à l’opinion de l’enfant concerné, lorsqu’il s’agit d’organiser des relations personnelles, dépend de l’âge de celui-ci (FamPra.ch 2009 p. 740 c. 5.1).</w:t>
      </w:r>
    </w:p>
    <w:p>
      <w:r>
        <w:rPr>
          <w:b/>
        </w:rPr>
        <w:t>E. 3.2</w:t>
      </w:r>
    </w:p>
    <w:p>
      <w:r>
        <w:t>En l’espèce, on peut comprendre les regrets et la souffrance de l’appelante. Cela n’est toutefois pas déterminant. Il résulte en effet des principes développés plus haut que l’intérêt de l’enfant doit primer. Or, C.B.________ a manifesté sa souffrance et son inquiétude lorsqu’il a été entendu par le premier juge le 24 mars 2014. Il n’est, en l’état, manifestement pas prêt à assumer un droit de visite élargi tel que le souhaite l’appelante. Il ne s’agit pas de dire, à ce stade, si les impressions de l’enfant sont « subjectives » ou « complètement orientées ». Seule compte l’existence de ses craintes et la nécessité de tout faire pour les atténuer. Ce qui doit l’emporter, c’est la capacité de l’enfant à pouvoir assumer un droit de visite de l’étendue de celui qui aura été fixé, à défaut de quoi l’enfant et sa mère s’engagent vers une situation d’échec qui péjorera à l’excès leurs relations ultérieures. Il est ainsi nécessaire de donner à C.B.________ le temps suffisant pour qu’il reprenne confiance, tout en préservant un lien autant que faire se peut. Dans ces conditions, le droit de visite, certes restreint à un jour tous les quinze jours, ne constitue pas seulement une solution adéquate, mais la seule solution qui soit conforme à l’intérêt de l’enfant à court et à long terme. Au surplus, il convient de relever que l’expertise pédopsychiatrique ordonnée sur la question des relations personnelles entre les parents et leurs enfants permettra d’y voir plus clair et que, dans l’intérêt de l’enfant, il n’y a pas lieu de précipiter les choses avant que l’expert ait pu se prononcer sur ce point. Partant, le grief de l’appelante, mal fondé, doit être rejeté. 4. En définitive, l'appel doit être rejeté dans la procédure de l'art. 312 al. 1 CPC et la décision entreprise confirmée. Les frais judiciaires de deuxième instance, arrêtés à 600 fr. (art. 63 al. 1 TFJC [tarif des frais judiciaires civils du 28 septembre 2010; RSV 270.11.5], sont par conséquent mis à la charge de l’appelante (art. 106 al. 1 CPC). N'ayant pas été invité à se déterminer, l'intimé n'a pas droit à des dépens. Par ces motifs, le juge délégué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l'appelante C.________. IV. L'arrêt motivé est exécutoire. Le juge délégué : La greffière : Du L'arrêt qui précède, dont la rédaction a été approuvée à huis clos, est notifié en expédition complète, par l'envoi de photocopies, à : ‑ Me Véronique Fontana, (pour C.________), ‑ Me Christian Bettex, (pour A.B.________).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r>
        <w:rPr>
          <w:b/>
        </w:rPr>
        <w:t>E. 7</w:t>
      </w:r>
    </w:p>
    <w:p>
      <w:r>
        <w:t>mai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