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443 vom 10. Juni 2014</w:t>
      </w:r>
    </w:p>
    <w:p>
      <w:r>
        <w:t>VD Tribunal cantonal, 2014-06-10, FR</w:t>
      </w:r>
    </w:p>
    <w:p>
      <w:r>
        <w:rPr>
          <w:b/>
        </w:rPr>
        <w:t xml:space="preserve">Quelle: </w:t>
      </w:r>
      <w:r>
        <w:t>https://mcp.opencaselaw.ch/entscheid/vd_findinfo_HC___2014___443</w:t>
      </w:r>
    </w:p>
    <w:p>
      <w:r>
        <w:t>FR: VD_FINDINFO HC / 2014 / 443 du 10 juin 2014</w:t>
      </w:r>
    </w:p>
    <w:p>
      <w:r>
        <w:t>IT: VD_FINDINFO HC / 2014 / 443 del 10 giugno 2014</w:t>
      </w:r>
    </w:p>
    <w:p>
      <w:pPr>
        <w:pStyle w:val="Heading2"/>
      </w:pPr>
      <w:r>
        <w:t>Regeste</w:t>
      </w:r>
    </w:p>
    <w:p>
      <w:r>
        <w:t>BAIL À LOYER, EXPULSION DE LOCATAIRE, DEMEURE DU DÉBITEUR, COMPENSATION DE CRÉANCES, COMPTE COURANT, INVITATION, ASSEMBLÉE GÉNÉRALE, SOCIÉTÉ ANONYME, SOCIÉTÉ IMMOBILIÈRE, ANNULABILITÉ, VICE DE FORME, NOUVEAU MOYEN DE PREUVE | 124 al. 1 CO, 124 al. 3 CO, 257d al. 2 CO, 700 CO, 706a al. 1 CO, 257 CPC (CH), 317 al. 1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d’un bail prévoyant un loyer mensuel de 1’300 fr. par mois. En prenant en considération la période de protection de trois ans (art. 271a al. 1 let. e CO),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l’intimée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 bordereau de pièces produit en deuxième instance par l’appelant est identique à celui figurant dans le dossier de première instance. Il est en conséquence recevable. En revanche, le courriel du 1 er avril 2011, dont on ignore s’il s’agit d’un projet ou s’il a été envoyé est contemporain de l’audience de première instance. Cette pièce nouvelle est irrecevable, dès lors que l’appelant n’a pas invoqué ni a fortiori démontré en quoi les conditions de l’art. 317 al. 1 CPC seraient réalisées.</w:t>
      </w:r>
    </w:p>
    <w:p>
      <w:r>
        <w:rPr>
          <w:b/>
        </w:rPr>
        <w:t>E. 3</w:t>
      </w:r>
    </w:p>
    <w:p>
      <w:r>
        <w:t>Le premier juge a considéré que les conditions du cas clair étaient réalisées.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 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C’est au regard de ces principes qu’il convient d’examiner les moyens de l’appelant. b) L’appelant fait valoir que dès lors qu’il n’a pas été directement convoqué à l’assemblée générale de l’intimée du 22 février 2012, mais par l’intermédiaire de son conseil en violation des statuts, la décision nommant T.________ administrateur de la société est nulle. Il soutient en conséquence que celui-ci ne pouvait valablement résilier le bail en cause. Selon la doctrine, sauf le cas de l’assemblée générale universelle prévue à l’art. 701 CO, le vice dans la convocation n’entraîne que l’annulabilité des décisions prises par l’assemblée générale et non la nullité de celles-ci (Peter/Cavadini, Commentaire romand, 2008, n. 9 ad art. 700 CO, p. 998 et référence). Les décisions annulables doivent être attaquées en justice dans un délai de deux mois dès l’assemblée générale, sous peine de péremption (art. 706a al. 1 CO). En l’espèce, l’appelant n’a pas allégué ni établi avoir contesté en justice la décision de nomination de l’administrateur T.________ dans le délai de deux mois dès l’assemblée générale du 22 février 2012. Nonobstant l’éventuel vice dans la convocation à cette assemblée, cette décision est donc pleinement valable. La situation juridique et de fait étant claire, c’est à juste titre que le premier juge a considéré que le moyen de l’appelant était inopérant. c) L’appelant conteste l’existence d’une dette de loyer, dès lors que son compte courant d’associé a toujours été créditeur. Selon l’art. 120 al. 1 CO,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les usages particuliers du commerce en matière de compte courant étant réservés (art. 124 al. 3 CO). Selon la doctrine et la jurisprudence, le contrat de compte courant est le contrat par lequel deux personnes, pour une certaine période comptable ou jusqu’à un certain montant s’accordent d’un délai de paiement de sorte que seul le résultat du décompte, appelé solde, est l’objet d’une créance, savoir un accord de volonté en vue de substituer à la pluralité des créances réciproques une créance unique, celle du solde (Chaudet/Cherpillod/Landrove, Droit suisse des affaires, 3 e éd., 2010, n os 2404 et 2405, p. 483 et références). L’expression « compte courant » n’est pas décisive, car elle peut désigner simplement une forme de comptabilité ; sont importantes en revanche l’existence de balance périodique et de reports à compte nouveaux (ATF 40 II, 405 JT 1914 I 625 cité par Braconi/Carron/Scyboz, CO annoté, 9 e éd. 2013, p.107). En matière non bancaire, le contrat de compte courant ne se présume pas et doit donc faire l’objet d’une convention expresse (Chaudet/Cherpillod/Landrove, op. cit., n° 2408, p. 484 et référence). En l’espèce, la simple mention « compte courant  créanciers actionnaires » ne peut, vu les considérations qui précèdent, induire l’existence d’un contrat de compte courant au sens de la doctrine et de la jurisprudence susmentionnée entre les parties, mais atteste plutôt une forme de comptabilité. L’existence de ce compte ne dispensait donc pas l’appelant d’invoquer la compensation pour que celle-ci soit effective. En outre, dans le cadre de l’art. 257d CO, la déclaration de compensation devait intervenir, comme l’a relevé à juste titre le premier juge, dans le délai de sommation de trente jours pour faire obstacle à la résiliation du bail (ATF 119 II 241 c. 6b/bb ; TF 4C_140/2006 du 14 août 2006 c. 4.1.1 ; CACI 28 novembre 2011/376). Là également, la situation juridique et de fait est claire et c’est à juste titre que le premier juge n’a pas retenu le moyen de l’appelant. d) Le recourant conteste qu’un contrat de bail ait été conclu par les parties. Il ressort toutefois des pièces du dossier que l’intimée a conclu un contrat de bail relatif à l’appartement en question avec la société O.________ Sàrl, dont le seul gérant était l’appelant. Cette société a été radiée en décembre 2011. Depuis lors l’appelant a repris le bail à son nom, ce qui ressort notamment du procès-verbal de l’assemblée générale extraordinaire des actionnaires de l’intimée. L’appelant y confirme être le locataire de l’appartement en question, ce qu’il n’a jamais contesté. Là également, la situation juridique et de fait est claire. 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En l’espèce, l’ordonnance retient que l’appelant reconnaissait devoir les loyers en cause. L’arriéré n’a pas été acquitté ni fait l’objet d’une déclaration de compensation dans le délai imparti le 12 juillet 2013. L’art. 257d al. 2 CO donnait donc le droit à l’intimée de résilier le bail en cause pour le 30 septembre 2013 et d’obtenir du premier juge l’expulsion de l’appelant.</w:t>
      </w:r>
    </w:p>
    <w:p>
      <w:r>
        <w:rPr>
          <w:b/>
        </w:rPr>
        <w:t>E. 4</w:t>
      </w:r>
    </w:p>
    <w:p>
      <w:r>
        <w:t>En conclusion, l’appel doit être rejeté en application de l’art. 312 al. 1 CPC et l’ordonnance confirmée. Vu le rejet de l’appel, les frais judiciaires de deuxième instance, arrêtés à 1'347 fr. (art. 62 al. 1 et 3 TFJC [tarif du 28 septembre 2010 des frais judiciaires civils ; RSV 270.11.5]), doivent être mis à la charge de l’appelant (art. 106 al. 1 CPC). Le délai de libération des locaux étant passé du fait de l’effet suspensif accordé à l’appel, il convient de renvoyer la cause au premier juge, afin qu’il fixe à l’appelant un nouveau délai pour qu’il les libère.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