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427 vom 2. Juni 2014</w:t>
      </w:r>
    </w:p>
    <w:p>
      <w:r>
        <w:t>VD Tribunal cantonal, 2014-06-02, FR</w:t>
      </w:r>
    </w:p>
    <w:p>
      <w:r>
        <w:rPr>
          <w:b/>
        </w:rPr>
        <w:t xml:space="preserve">Quelle: </w:t>
      </w:r>
      <w:r>
        <w:t>https://mcp.opencaselaw.ch/entscheid/vd_findinfo_HC___2014___427</w:t>
      </w:r>
    </w:p>
    <w:p>
      <w:r>
        <w:t>FR: VD_FINDINFO HC / 2014 / 427 du 2 juin 2014</w:t>
      </w:r>
    </w:p>
    <w:p>
      <w:r>
        <w:t>IT: VD_FINDINFO HC / 2014 / 427 del 2 giugno 2014</w:t>
      </w:r>
    </w:p>
    <w:p>
      <w:pPr>
        <w:pStyle w:val="Heading2"/>
      </w:pPr>
      <w:r>
        <w:t>Regeste</w:t>
      </w:r>
    </w:p>
    <w:p>
      <w:r>
        <w:t>DÉCISION D'IRRECEVABILITÉ, COMPÉTENCE | 63 al. 1 CPC (CH)</w:t>
      </w:r>
    </w:p>
    <w:p>
      <w:pPr>
        <w:pStyle w:val="Heading2"/>
      </w:pPr>
      <w:r>
        <w:t>Erwägungen</w:t>
      </w:r>
    </w:p>
    <w:p>
      <w:r>
        <w:rPr>
          <w:b/>
        </w:rPr>
        <w:t>E. 2</w:t>
      </w:r>
    </w:p>
    <w:p>
      <w:r>
        <w:t>Par acte du 29 mars 2014, B.________ a déposé une action en libération de dette auprès du Président du Tribunal d’arrondissement de l’Est vaudois.</w:t>
      </w:r>
    </w:p>
    <w:p>
      <w:r>
        <w:rPr>
          <w:b/>
        </w:rPr>
        <w:t>E. 3</w:t>
      </w:r>
    </w:p>
    <w:p>
      <w:r>
        <w:t>Par jugement du 13 mai 2014, la Présidente du Tribunal d’arrondissement de l’Est vaudois a déclaré irrecevable la demande déposée par B.________ le 29 mars 2014, motif pris de son incompétence pour statuer dans une cause dont la valeur litigieuse était inférieure à 10'000 francs.</w:t>
      </w:r>
    </w:p>
    <w:p>
      <w:r>
        <w:rPr>
          <w:b/>
        </w:rPr>
        <w:t>E. 4</w:t>
      </w:r>
    </w:p>
    <w:p>
      <w:r>
        <w:t>Par lettre du 19 mai 2014, B.________ a demandé au Tribunal d’arrondissement de l’Est vaudois que sa « requête » soit transmise à l’autorité concernée, faute de quoi il serait contraint de « déposer un appel ».</w:t>
      </w:r>
    </w:p>
    <w:p>
      <w:r>
        <w:rPr>
          <w:b/>
        </w:rPr>
        <w:t>E. 5</w:t>
      </w:r>
    </w:p>
    <w:p>
      <w:r>
        <w:t>Ayant reçu son acte du 29 mars 2014 en retour, B.________ a réitéré sa demande de transmission le 26 mai 2014.</w:t>
      </w:r>
    </w:p>
    <w:p>
      <w:r>
        <w:rPr>
          <w:b/>
        </w:rPr>
        <w:t>E. 6</w:t>
      </w:r>
    </w:p>
    <w:p>
      <w:r>
        <w:t>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([Code de procédure civile du 19 décembre 2008 ; RS 272]). Le CPC ne prévoit pas la transmission d’office de l’acte en première instance et il y a sur ce point un silence qualifié du législateur (Bohnet, CPC commenté, Bâle 2011, n. 29 ad art. 63 CPC). En l’espèce, la demande de transmission ne correspond pas à un recours par lequel l’intéressé contesterait une décision prise par le premier juge. Il y aurait dès lors lieu de retourner la cause à celui-ci afin qu’il rende une décision refusant de transmettre la demande ; si l’intéressé interjetait alors un recours, celui-ci devrait être déclaré irrecevable faute de risque d’un préjudice irréparable, puisqu’il suffirait de déposer une nouvelle demande correctement adressée dans le délai d’un mois de l’art. 63 al. 1 CPC, à compter de la notification (ATF 138 III 610). Par économie de procédure, il faut plutôt considérer qu’un tel recours a été déposé et le déclarer irrecevable. On ajoutera que, même s’il avait été recevable, il aurait dû être rejeté dès lors qu’en procédure civile, aucune règle n’impose au juge saisi qui n’est pas compétent de transmettre l’acte introductif d’instance au juge compétent, contrairement à ce qui est le cas en procédure administrative (art. 7 al. 1 LPA-VD [loi vaudoise du 28 octobre 2008 sur la procédure administrative ; RSV 173.36]).</w:t>
      </w:r>
    </w:p>
    <w:p>
      <w:r>
        <w:rPr>
          <w:b/>
        </w:rPr>
        <w:t>E. 7</w:t>
      </w:r>
    </w:p>
    <w:p>
      <w:r>
        <w:t>Il résulte de ce qui précède que le recours doit être déclaré irrecevable. L’arrêt est rendu sans frais.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