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417 vom 7. April 2014</w:t>
      </w:r>
    </w:p>
    <w:p>
      <w:r>
        <w:t>VD Tribunal cantonal, 2014-04-07, FR</w:t>
      </w:r>
    </w:p>
    <w:p>
      <w:r>
        <w:rPr>
          <w:b/>
        </w:rPr>
        <w:t xml:space="preserve">Quelle: </w:t>
      </w:r>
      <w:r>
        <w:t>https://mcp.opencaselaw.ch/entscheid/vd_findinfo_HC___2014___417</w:t>
      </w:r>
    </w:p>
    <w:p>
      <w:r>
        <w:t>FR: VD_FINDINFO HC / 2014 / 417 du 7 avril 2014</w:t>
      </w:r>
    </w:p>
    <w:p>
      <w:r>
        <w:t>IT: VD_FINDINFO HC / 2014 / 417 del 7 aprile 2014</w:t>
      </w:r>
    </w:p>
    <w:p>
      <w:pPr>
        <w:pStyle w:val="Heading2"/>
      </w:pPr>
      <w:r>
        <w:t>Regeste</w:t>
      </w:r>
    </w:p>
    <w:p>
      <w:r>
        <w:t>CONTRAT DE TRAVAIL, PREUVE, CONVENTION COLLECTIVE DE TRAVAIL, DÉCISION D'EXTENSION, SALAIRE | 8 CC, 18 CCT-Second oeuvre</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personne qui y a intérêt dans un litige où la valeur litigieuse de première instance dépassait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 soutient qu’il n’a jamais engagé l’intimé comme employé, mais a répondu à une demande spontanée de celui-ci pour découvrir le métier, avec cependant, un contrat de travail prévoyant une rémunération mensuelle de 800 fr., contrat que le recourant aurait refusé de signer pour un faux prétexte. L’appelant conteste la valeur probante du témoignage recueilli à l’audience, dès lors que le témoin est en litige devant les tribunaux avec lui, ainsi que celle des décomptes de travail de l’intimé. b) Selon l’art. 8 CC (Code civil du 10 décembre 1907 ; RS 210), chaque partie doit, si la loi ne prescrit le contraire, prouver les faits qu’elle allègue pour en déduire son droit. La jurisprudence a déduit de cette règle qu’en matière de droit du travail, il incombe au travailleur d’établir les circonstances de fait nécessaires à démontrer la conclusion d’un contrat de travail, de même que le montant du salaire convenu et usuel, alors qu’il incombe à l’employeur qui s’oppose au paiement du salaire d’établir l’extinction du rapport de travail (ATF 127 III 78 c. 3b, SJ 1999 I 385). En l’espèce, l’existence d’une activité de l’intimé pour l’appelant pour la période litigieuse est attestée par les quittances de salaire émises par l’appelant (400 fr. pour le mois de février et 800 fr. pour le mois de mars 2012). Elle se déduit également du projet de contrat de travail du 30 mars 2012 établi par l’appelant pour prendre effet le 1 er mars 2012 et par les propres déclarations de celui-ci lorsqu’il prétend que le salaire mensuel convenu était de 800 francs. On se trouve donc bien en présence d’un contrat de travail au sens de l’art. 319 al. 1 CO (Code des obligations du 30 mars 1911 ; RS 220). L’appelant n’a apporté aucun élément de preuve qui permettrait d’appuyer sa thèse, à savoir d’établir que l’intimé avait un statut particulier (« il voulait découvrir les aspects du métier » mais « n’a jamais été engagé à titre d’employé comme manœuvre ou apprenti ») et qu’il n’a travaillé que de manière occasionnelle. A cet égard, l’extrait de compte, de même que les factures, produits par l’appelant en première instance, ne lui sont d’aucun secours. Quant aux décomptes établis par l’intimé, ils établissent un engagement à plein temps de l’intimé pour des durées hebdomadaires de travail se situant aux alentours de 42,5 heures, qui sont confirmées par la durée du travail figurant dans le projet de contrat du 30 mars 2012, sans qu’il soit nécessaire de se fonder sur le témoignage de N.________ qui, dès lors qu’il est également en litige avec l’appelant, doit être apprécié avec retenue. c) L’arrêté du Conseil fédéral du 1 er février 2011 a, pour la période en cause, étendu à tous les employeurs et travailleurs de la branche les dispositions de la CCT-SOR. Selon l’art. 18 ch. 1 et 2 CCT-SOR et l’annexe II CCT-SOR, le salaire minimal d’un travailleur C non qualifié (manœuvre ou travailleur auxiliaire) s’élève à 4'380 fr. par mois pour une durée de travail hebdomadaire de 41 heures (art. 12 ch. 1 let. a CCT-SOR), soit 24 fr. 65 de l’heure. L’art. 18 ch. 4 CCT-SOR prévoit qu’une réduction de ce minimum peut être consentie, lorsque l’employeur forme ou a formé dans les deux dernières années au moins un apprenti dans une profession soumise à la CCT-SOR. L’art. 19 ch. 1 CCT-SOR prévoit le versement d’un treizième salaire, versé au prorata en cas de départ anticipé du travailleur (ch. 3) et ce dès le premier jour de travail chez l’employeur (ch. 4). L’art. 20 ch. 1 par. 1 CCT-SOR prévoit que le travailleur a droit jusqu’à l’âge de cinquante ans à vingt-cinq jours ouvrables de vacances, soit cinq semaines, et l’art. 21 ch. 1 CCT-SOR précise que tous les travailleurs ont droit à l’indemnisation de neuf jours fériés conventionnels ou légaux au maximum par année, à raison du salaire effectivement perdu. En l’espèce, l’activité effectuée par l’intimée pour l’appelant tombe dans le champ d’application de la CCT-SOR et doit être rémunérée, faute pour l’appelant d’avoir établi former ou avoir formé un apprenti dans la branche dans les deux ans précédents, à 24 fr. 65 de l’heure. L’intimé a en outre droit au paiement d’un prorata de son treizième salaire et des vacances non prises, ainsi que l’indemnisation des jours fériés du mois d’avril 2012. L’appelant ne conteste pas les calculs opérés par les premiers juges en application des dispositions de la CCT-SOR susmentionnées et ceux-ci peuvent être confirmés.</w:t>
      </w:r>
    </w:p>
    <w:p>
      <w:r>
        <w:rPr>
          <w:b/>
        </w:rPr>
        <w:t>E. 4</w:t>
      </w:r>
    </w:p>
    <w:p>
      <w:r>
        <w:t>En conclusion, l’appel doit être rejeté en application de l’art. 312 al. 1 CPC et le jugement confirmé. La valeur litigieuse ne dépassant pas 30'000 fr., le présent arrêt doit être rendu sans frais judiciaires (art. 114 let. c CPC ; Tappy, CPC commenté, 2011,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