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 vom 9. Januar 2014</w:t>
      </w:r>
    </w:p>
    <w:p>
      <w:r>
        <w:t>VD Tribunal cantonal, 2014-01-09, FR</w:t>
      </w:r>
    </w:p>
    <w:p>
      <w:r>
        <w:rPr>
          <w:b/>
        </w:rPr>
        <w:t xml:space="preserve">Quelle: </w:t>
      </w:r>
      <w:r>
        <w:t>https://mcp.opencaselaw.ch/entscheid/vd_findinfo_HC___2014___41</w:t>
      </w:r>
    </w:p>
    <w:p>
      <w:r>
        <w:t>FR: VD_FINDINFO HC / 2014 / 41 du 9 janvier 2014</w:t>
      </w:r>
    </w:p>
    <w:p>
      <w:r>
        <w:t>IT: VD_FINDINFO HC / 2014 / 41 del 9 gennaio 2014</w:t>
      </w:r>
    </w:p>
    <w:p>
      <w:pPr>
        <w:pStyle w:val="Heading2"/>
      </w:pPr>
      <w:r>
        <w:t>Regeste</w:t>
      </w:r>
    </w:p>
    <w:p>
      <w:r>
        <w:t>CONTRAT D'ASSURANCE, INDEMNITÉ JOURNALIÈRE, PÉRIODE D'ATTENTE, PERTE DE GAIN, INCAPACITÉ DE TRAVAIL, ASSURANCE COMPLÉMENTAIRE | 18 al. 1 CO, 11 al. 1 LCA, 3 LCA</w:t>
      </w:r>
    </w:p>
    <w:p>
      <w:pPr>
        <w:pStyle w:val="Heading2"/>
      </w:pPr>
      <w:r>
        <w:t>Erwägungen</w:t>
      </w:r>
    </w:p>
    <w:p>
      <w:r>
        <w:rPr>
          <w:b/>
        </w:rPr>
        <w:t>E. 1</w:t>
      </w:r>
    </w:p>
    <w:p>
      <w:r>
        <w:t>let. a CPC [Code de procédure civile du 19 décembre 2010 ; RS 272]) dans les causes non patrimoniales ou dont la valeur litigieuse au dernier état des conclusions devant l’autorité précédente est de 10'000 fr. au moins (art. 308 al. 2 CPC). En se référant au dernier état des conclusions, l’art. 308 al. 2 CPC vise les conclusions litigieuses devant l’instance précédente, non l’enjeu de l’appel (Tappy, Les voies de droit du nouveau Code de procédure ; JT 2010 III 126). En l’espèce, la limite de 10’000 fr. fixée par l’art. 308 al. 2 CPC est sans conteste atteinte. Motivé et interjeté en temps utile (art. 311 al. 1 CPC) par une partie qui y a intérêt (art. 59 al. 2 let. a CPC),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En l’espèce, les pièces produites par l’appelante, à savoir la « Feuille de calcul pour les collaborateurs du Q.________ » établie le 28 novembre 2001 et sa lettre du 20 avril 2003 adressée à P.________SA figurent déjà au dossier. L'état de fait du jugement attaqué a été complété ci-dessus sur la base de ces documents, ainsi que d’autres pièces au dossier.</w:t>
      </w:r>
    </w:p>
    <w:p>
      <w:r>
        <w:rPr>
          <w:b/>
        </w:rPr>
        <w:t>E. 3</w:t>
      </w:r>
    </w:p>
    <w:p>
      <w:r>
        <w:t>a) L’appelante soutient que les conditions générales/spéciales x.___ 1999/2001 ne sont pas valablement incorporées à son contrat, de sorte qu’il y a lieu de se baser uniquement sur la proposition d’assurance signée le 7 décembre 2001, qui contient tous les éléments essentiels du contrat et a été acceptée par l’assurance au plus tard lors de sa première incapacité de travail en janvier 2002. Elle considère que si les premiers juges ont retenu que les CGA 01.2005 ne lui étaient pas opposables parce qu’il n’était pas établi qu’elle les avait reçues, il devrait en aller de même en ce qui concerne les conditions générales/spéciales x.___ 1999/2001 qu’elle n’a pas reçues non plus, de même que la police d’assurance. Elle prétend aussi que la clause en petits caractères à la fin de la proposition d’assurance est trop vague, car elle ne mentionne pas quelles CGA et quelle édition lui auraient été transmises. b) L’art. 3 aLCA, en vigueur en 2001, dispose que les conditions générales de l’assurance doivent ou bien être contenues dans le formulaire même de proposition fourni par l’assureur ou bien avoir été remises au proposant avant qu’il ait remis le formulaire contenant sa proposition de contrat. Conformément à la jurisprudence, en signant la proposition d’assurance, le preneur se soumet aux conditions générales qu’elle contient. Il suffit en outre que la police renvoie simplement aux conditions générales d’assurance. Ainsi, le preneur d’assurance est lié par les conditions générales d’assurance lorsqu’elles sont mentionnées sur la proposition qu’il a signée pour autant qu’il ne démontre pas clairement qu’elles ne lui auraient pas été remises (Carré, Loi fédérale sur le contrat d’assurance, Lausanne 2000, ad art. 3 LCA, pp. 121-122). Selon la jurisprudence du Tribunal fédéral, les clauses d’un contrat d’assurance, de même que les conditions générales qui ont été expressément incorporées, doivent être interprétées selon les mêmes principes juridiques que les autres dispositions contractuelles (ATF 135 III 410 c. 3.2 publié in SJ 2009 I, p. 429 ; pour les conditions générales : ATF 135 III 1 c. 2 ; ATF 133 III 675 c. 3.3). S’il n’est pas exclu que l’on retrouve épisodiquement une référence à l’adage « in dubio contra stipulatorem », il est manifeste que celui-ci a perdu de l’importance. Il faut dire que l’idée de punir celui qui a rédigé le contrat ou de trancher systématiquement en faveur de l’assuré ne trouve aucun point d’appui dans le texte légal. Le but de l’interprétation consiste bien plutôt à dégager la volonté exprimée, en considérant la manifestation de volonté telle qu’elle devait être comprise de bonne foi par son destinataire (Corboz, Le contrat d’assurance dans la jurisprudence récente, in SJ 2011 lI, pp. 247 ss et les réf. citées).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61 c. 2.2.1 et réf.).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 conformément au principe de la confiance, c’est à l’assureur qu’il incombe de délimiter la portée de l’engagement qu’il entend prendre et le preneur n’a pas à supposer des restrictions qui ne lui ont pas été clairement présentées (Corboz, op. cit., pp. 247 ss ; ATF 133 III 675 c. 3.3 ; dans une forme résumée ATF 135 III 410 c. 3.2, publié in SJ 2009 I, p. 429). Enfin, conformément à l’art. 11 al. 1 LCA, lorsque la proposition d’assurance (émanant du preneur) a été acceptée par l’assureur, ce dernier est tenu de remettre au preneur un document, appelé la police, qui constate les droits et les obligations des parties. c) En l’espèce, la police d’assurance individuelle consécutive à la proposition d’assurance signée le 7 décembre 2001 par l’appelante n’a pas été produite, de sorte qu’il y a lieu de se fonder sur cette proposition pour déterminer quelle était la réelle et commune volonté des parties. Dans ce document, l’appelante a coché les rubriques pour l’admission à la nouvelle assurance « x.___ – Assurance d’indemnités journalières pour perte de gain (classes AB/KM) », sous lesquelles il était indiqué que l’indemnité journalière s’élevait à 198 « francs fixes », avec paiement différé au 61 ème jour. Dans la même section, la rubrique concernant la date d’édition des CGA applicables n’a pas été remplie. Juste au-dessus de la signature de l’assurée figurait la mention selon laquelle elle confirmait avoir reçu un exemplaire des conditions générales/spéciales d’assurance qui faisaient partie intégrante du contrat. En outre, les attestations d’assurance valables au 1 er janvier 2003 et 1 er janvier 2004 que l’appelante a reçues indiquent la couverture d’assurance x.___ et l’application des « CGA 01.1999 ». Dans ces circonstances, il y a lieu d’admettre que l’appelante ne pouvait ignorer que des conditions générales complétaient la proposition d’assurance qu’elle avait signée, ce qui est au demeurant l’usage en matière d’assurance, ni que des conditions spéciales étaient également applicables dans la mesure où elle souscrivait une assurance complémentaire spécifique perte de gain parmi d’autres propositions d’assurances. En outre, interprétée selon le principe de la confiance, la proposition d’assurance ne peut se référer qu’aux conditions générales/spéciales applicables au moment où elle a été signée et pas à des conditions générales/spéciales obsolètes ou futures. L’application des CGA 01.2001 et des CSA x.___ 1999 retenue par les premiers juges doit par conséquent être confirmée. Il convient au demeurant de constater que les art. 11 CSA x.___ 1999 (surindemnisation) et 20 al. 2 CGA 01.2001 (prestations d’autres assureurs ou de tiers) (cf. supra, let. C, ch. 3) ne sont ni ambigus ni insolites. Selon la jurisprudence, la validité des clauses contenues dans des conditions générales est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 ATF 135 III 225 c. 1.3 ;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Est insolite la disposition qui est étrangère à la nature même de la convention et qui est susceptible de provoquer la surprise chez une partie faible ou inexpérimentée (Brulhart, Droit des assurances privées, 2008, p. 129). Tel n’est pas le cas en l’espèce puisqu’il n’y a rien de surprenant à ce que l’assureur perte de gain complémentaire précise dans ses conditions générales et spéciales que ses prestations ne seront versées que sous déduction des prestations déjà versées par les assureurs sociaux.</w:t>
      </w:r>
    </w:p>
    <w:p>
      <w:r>
        <w:rPr>
          <w:b/>
        </w:rPr>
        <w:t>E. 4</w:t>
      </w:r>
    </w:p>
    <w:p>
      <w:r>
        <w:t>L’appelante prétend que les indemnités versées par P.________SA lors du premier sinistre en 2002 l’ont été sans imputation de prestations versées par V.________ et que l’assurance n’a jamais prétendu à un quelconque remboursement. Elle soutient que P.________SA a eu connaissance au plus tard au printemps 2002 du versement des prestations de V.________ et que le fait que celle-ci n’a pas réagi confirme tacitement qu’il n’a jamais été question de déduire les prestations de V.________ du montant de l’indemnité journalière. Il n’est pas contesté que l’appelante a été en incapacité de travail à partir du 1 er janvier 2002, que V.________ a versé des prestations à partir du 3 janvier 2002 (cf. P. 101.1 du bordereau de l’appelante du 21 mars 2011) et que P.________SA a indemnisé la perte de salaire par le versement d’une indemnité journalière de 198 fr. dès le 61 ème jour d’incapacité (cf. P. E du bordereau de la défenderesse du 1 er octobre 2012). Contrairement à ce que soutient l’appelante, il ressort clairement de la pièce F du bordereau du 1 er octobre 2012 que, le 7 juin 2004, P.________SA a informé celle-ci que le cumul de ses propres indemnités journalières, de la rente de V.________ et des prestations que l’OAI s’apprêtait à lui verser avec effet rétroactif du 1 er novembre 2002 au 30 juin 2003 aboutirait à une surindemnisation de 7'108 fr. 20 durant cette période. L’assurance lui a dès lors demandé de signer le formulaire de compensation à faire valoir auprès de l’OAI afin de récupérer cette somme. S’il est ainsi établi que P.________SA a demandé à être remboursée en raison d’une surindemnisation, on ne sait en revanche pas si l’appelante a signé le formulaire de compensation et si, partant, l’assurance a pu recouvrer la somme versée en trop. Cela n’est toutefois pas déterminant pour l’examen du présent litige. Si P.________SA n’a pas réagi avant d’apprendre que l’appelante allait toucher une rente AI à partir du 1 er novembre 2002 à titre rétroactif et si elle n’a pas demandé à l’intéressée la restitution de prestations versées en trop du 1 er janvier au 31 octobre 2002, c’est très probablement parce que le cumul de ses propres prestations et celles de V.________ durant cette période n’aboutissait pas à une surindemnisation. En effet, dès lors que, durant la période du 1 er novembre 2002 au 30 juin 2003, le total des prestations de P.________SA et de V.________ par 66'478 fr. (35'227 fr. 60 + 31'250 fr. 40 respectivement) était inférieur au salaire de 76'318 fr. 80 que l’appelante aurait réalisé si elle était restée en bonne santé, il en est certainement allé de même pour la période du 1 er janvier au 31 octobre 2002. Quoi qu’il en soit, même s’il était établi que P.________SA avait renoncé à obtenir le remboursement de prestations indûment versées du 1 er janvier 2002 au 30 juin 2003, cela ne suffirait pas pour en déduire qu’elle a renoncé à faire valoir toute surindemnisation pour l’avenir.</w:t>
      </w:r>
    </w:p>
    <w:p>
      <w:r>
        <w:rPr>
          <w:b/>
        </w:rPr>
        <w:t>E. 5</w:t>
      </w:r>
    </w:p>
    <w:p>
      <w:r>
        <w:t>L’appelante expose ensuite que le montant de l’indemnité journalière de 198 fr. a été calculé après déduction des éventuelles prestations des premier et deuxième piliers, de sorte qu’il ne saurait être question, lors du versement effectif de l’indemnité journalière, d’imputer une seconde fois d’éventuelles prestations des assureurs sociaux. A l’appui de son argumentation, l’appelante se réfère à la « Feuille de calcul pour les collaborateurs du Q.________ » établie par P.________SA le 28 novembre 2001 (cf. supra, let. C, ch. 6). On ne dispose d’aucun renseignement sur la manière dont l’assurance a calculé le montant de l’indemnité journalière. Le calcul exposé par l’appelante semble cohérent, à savoir que, de son salaire annuel de 106'886 fr., auraient été déduites les prestations LPP par 21'684 fr. (12 x 1'807 fr.) et la rente annualisée minimale du premier pilier par 12'360 fr. (12 x 1'030 fr.), ce qui aboutit au chiffre de 198 fr. ([106'886 fr. – 21'684 fr. – 12'360 fr.] / 365). Toutefois, il ne s’agit là que d’un calcul théorique visant à évaluer au plus juste la perte de gain que l’assuré aurait à subir et, partant, à déterminer le montant de la prime mensuelle. Ce calcul ne concerne en rien la manière dont l’assureur entend ensuite indemniser l’assuré et c’est sur ce point particulier que l’appelante se méprend. En effet, ce n’est pas l’indemnité journalière de 198 fr. qui doit être imputée à hauteur des prestations versées par les assureurs sociaux (cf. appel, p. 8 let. g et f), mais bel et bien le salaire effectif que l’appelante aurait réalisé si elle était restée en bonne santé qui doit être imputé, en l’espèce, des versements des rentes invalidité AI et LPP (cf. art. 11 CSA x.___ 1999). C’est dès lors à bon droit que les premiers juges ont considéré qu’il y avait lieu d’imputer les prestations des assureurs AI et LPP du salaire effectif de l’appelante afin de déterminer le droit aux prestations de P.________SA.</w:t>
      </w:r>
    </w:p>
    <w:p>
      <w:r>
        <w:rPr>
          <w:b/>
        </w:rPr>
        <w:t>E. 6</w:t>
      </w:r>
    </w:p>
    <w:p>
      <w:r>
        <w:t>L’appelante fait valoir encore que, s’agissant de son incapacité de travail ayant débuté en 2008, le délai d’attente n’est pas de 360 jours mais de 60 jours, comme indiqué dans la proposition d’assurance. Le 14 juillet 2004, l’appelante a expressément demandé à l’intimée que sa prime mensuelle soit réduite dès lors que, selon la nouvelle réglementation de son employeur, son salaire lui était versé en entier pendant les douze premiers mois d’incapacité de travail. Dans ce courrier, elle a d’ailleurs elle-même indiqué que « Ce n’est donc qu’à partir du 361 e jour que je dois être assurée ». Les attestations d’assurance qu’elle a reçues indiquent également que le délai d’attente est de 360 jours. En outre, conformément à la jurisprudence, lorsqu’il s’est établi une relation durable entre les parties, il arrive que l’assureur envoie une nouvelle police sans que celle-ci ne soit précédée d’un nouvel accord entre les parties. Il faut alors plutôt considérer que cette police constitue une nouvelle offre de l’assureur qui peut être acceptée par actes concluant, notamment en payant la prime proposée (TF 4C.98/2007 du 29 avril 2008, cité par Corboz, op. cit., p. 252). Ainsi, dès lors qu’à sa demande, le paiement des indemnités a été différé en échange d’une réduction de prime, l’appelante ne saurait prétendre, après avoir versé pendant des années une prime réduite, que ce délai d’attente de 360 jours ne s’applique pas.</w:t>
      </w:r>
    </w:p>
    <w:p>
      <w:r>
        <w:rPr>
          <w:b/>
        </w:rPr>
        <w:t>E. 7</w:t>
      </w:r>
    </w:p>
    <w:p>
      <w:r>
        <w:t>L’appelante conteste que le droit aux indemnités journalières s’éteint après 720 jours. Comme exposé ci-dessus, les conditions spéciales CSA x.___ 1999 sont applicables à l’appelante. L’art. 6 al. 1 qui dispose que les prestations assurées sont versées, pour une ou plusieurs maladies, pendant 720 jours au maximum délimite clairement le droit aux prestations et ne donne lieu à aucune autre interprétation.</w:t>
      </w:r>
    </w:p>
    <w:p>
      <w:r>
        <w:rPr>
          <w:b/>
        </w:rPr>
        <w:t>E. 8</w:t>
      </w:r>
    </w:p>
    <w:p>
      <w:r>
        <w:t>L’appelante affirme que les premiers juges n’auraient pas dû retenir un revenu annuel de 122’455 fr. correspondant à un taux d’activité de 90 %, mais un revenu de 136'050 fr. correspondant à un taux d’activité de 100 pour-cent. En l’espèce, l’appelante ne conteste pas le fait qu’elle travaillait à 90 % lorsque son incapacité de travail a débuté le 20 mai 2008. C’est d’ailleurs ce qui est indiqué dans le formulaire « déclaration d’incapacité de travail maladie » qu’elle a signé en juin 2009. Sachant que l’assurance journalière complémentaire a pour but la protection contre la perte de gain effective (cf. art. 11 CSA x.___ 1999), ce n’est pas le revenu au moment de la conclusion de l’assurance qui est déterminant, mais celui au moment de la survenance de l’incapacité de travail. L’assurance couvre en effet la perte de gain liée à une incapacité de travail et non à un choix personnel de réduire son activité. Au demeurant, l’appelante ne soutient pas ni ne prouve qu’elle était déjà en incapacité de travailler à 10 % à ce moment-là, par exemple en produisant la copie d’un certificat médical. Enfin, la prise en compte du revenu sans invalidité de 122'445 fr. fixé par l’OAI dans sa décision du 16 juillet 2010 ne prête pas le flanc à la critique.</w:t>
      </w:r>
    </w:p>
    <w:p>
      <w:r>
        <w:rPr>
          <w:b/>
        </w:rPr>
        <w:t>E. 9</w:t>
      </w:r>
    </w:p>
    <w:p>
      <w:r>
        <w:t>Les calculs effectués par les premiers juges en ce qui concerne l’indemnisation de l’incapacité de travail de l’appelante du 1 er février au 28 février 2010, du 1 er mars au 31 mai 2010 et à partir du 1 er juin 2010 pour les 339 jours restants, sont corrects et doivent être confirmés.</w:t>
      </w:r>
    </w:p>
    <w:p>
      <w:r>
        <w:rPr>
          <w:b/>
        </w:rPr>
        <w:t>E. 10</w:t>
      </w:r>
    </w:p>
    <w:p>
      <w:r>
        <w:t>Enfin, l’appelante s’en prend aux dépens de 1'800 fr. qui lui ont été alloués. L’appelante a obtenu environ un tiers du montant qu’elle réclamait, alors que l’intimée avait conclu au rejet de sa demande. Assistée par un mandataire professionnel, elle a droit à des dépens (art. 55 LPA-VD [loi vaudoise du 28 octobre 2008 sur la procédure administrative ; RSV 173.36], applicable par analogie selon l’art. 109 al. 1 LPA-VD), fixés d’après l’importance et la complexité du litige, sans égard à la valeur litigieuse (application analogique de l’art. 7 TFJAS). En l’espèce, compte tenu de la complexité de l’affaire (double échange d’écritures, tenue de deux audiences et dépôt de mémoires de droit), de plein dépens de 6'000 fr., supérieurs à la fourchette non limitative de l’art. 7 TFJAS, apparaissent adéquats, de sorte que la défenderesse versa à la demanderesse, qui obtient partiellement gain de cause, des dépens réduits de 4'000 francs.</w:t>
      </w:r>
    </w:p>
    <w:p>
      <w:r>
        <w:rPr>
          <w:b/>
        </w:rPr>
        <w:t>E. 11</w:t>
      </w:r>
    </w:p>
    <w:p>
      <w:r>
        <w:t>Il résulte de ce qui précède que l’appel doit être partiellement admis et le jugement entrepris réformé en ce sens qu’O.________SA doit verser à B.________ 4'000 fr. à titre de dépens de première instance. Le jugement est confirmé pour le surplus. Il n’est pas perçu de frais judiciaires de deuxième instance (art. 113 al. 2 let. f CPC). Dès lors que l’appelante n’obtient gain de cause que sur une question accessoire et succombe pour l’essentiel, les dépens de deuxième instance doivent être répartis à raison de 5/6 à la charge de l’appelante et 1/6 à la charge de l’intimée. L’appelante a par conséquent droit à des dépens réduits de 500 fr. sur la base de pleins dépens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