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406 vom 13. Mai 2014</w:t>
      </w:r>
    </w:p>
    <w:p>
      <w:r>
        <w:t>VD Tribunal cantonal, 2014-05-13, FR</w:t>
      </w:r>
    </w:p>
    <w:p>
      <w:r>
        <w:rPr>
          <w:b/>
        </w:rPr>
        <w:t xml:space="preserve">Quelle: </w:t>
      </w:r>
      <w:r>
        <w:t>https://mcp.opencaselaw.ch/entscheid/vd_findinfo_HC___2014___406</w:t>
      </w:r>
    </w:p>
    <w:p>
      <w:r>
        <w:t>FR: VD_FINDINFO HC / 2014 / 406 du 13 mai 2014</w:t>
      </w:r>
    </w:p>
    <w:p>
      <w:r>
        <w:t>IT: VD_FINDINFO HC / 2014 / 406 del 13 maggio 2014</w:t>
      </w:r>
    </w:p>
    <w:p>
      <w:pPr>
        <w:pStyle w:val="Heading2"/>
      </w:pPr>
      <w:r>
        <w:t>Regeste</w:t>
      </w:r>
    </w:p>
    <w:p>
      <w:r>
        <w:t>FRAIS D'EXPERTISE, DROIT D'ÊTRE ENTENDU | 184 al. 3 CPC (CH), 184 CPC (CH)</w:t>
      </w:r>
    </w:p>
    <w:p>
      <w:pPr>
        <w:pStyle w:val="Heading2"/>
      </w:pPr>
      <w:r>
        <w:t>Erwägungen</w:t>
      </w:r>
    </w:p>
    <w:p>
      <w:r>
        <w:rPr>
          <w:b/>
        </w:rPr>
        <w:t>E. 1</w:t>
      </w:r>
    </w:p>
    <w:p>
      <w:r>
        <w:t>L’art. 319 let. b ch. 1 CPC (Code de procédure civile suisse du 19 décembre 2008,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"autres décisions" visées par l'art. 319 let. b CPC (Jeandin, CPC commenté, Bâle 2011, n. 15 ad art. 319 CPC), lesquelles sont soumises au délai de recours applicable à la procédure au fond (Jeandin, op. cit., n. 10 ad art. 321 CPC). La décision entreprise a été rendue dans le cadre d'une procédure ordinaire, le délai de recours est ainsi de 30 jours (art. 321 al. 1 CPC), Interjeté en temps utile par une partie qui y a un intérêt digne de protection (art. 59 al. 2 let. a CPC), le recours est recevable. Le fait qu'une précédente déclaration de recours ait été déclarée irrecevable par la Cour de céans (CREC du 24 mars 2014/112) est sans incidence, cette décision n'ayant pas autorité de chose jugée.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se plaint en premier lieu d'une constatation manifestement inexacte des faits. Elle soutient que le premier juge aurait à tort retenu que le rapport d'expertise, qui compte 28 pages, est complet et répond aux allégués soumis à la preuve par expertise. Selon la recourante, le premier juge aurait dû constater que pas moins de 26 allégués n'ont pas fait l'objet d'une détermination de l'expert. b) On ne voit pas en quoi la décision attaquée comporterait une constatation manifestement erronée, c'est-à-dire arbitraire, sur l'examen des allégués par l'expert. Le premier juge n'a pas ignoré le grief soulevé par la recourante dans le délai de détermination sur l'expertise, mais a considéré que l'expert avait pris une certaine liberté avec la trame des allégués dans un souci de faciliter la compréhension du rapport, l'expertise étant au demeurant parfaitement exploitable et compréhensible. La recourante ne démontre pas en quoi cette appréciation serait arbitraire, mais se borne à répéter, d'une manière purement appellatoire, ses griefs de première instance, qui ne sont pas recevables dans le cadre d'un recours.</w:t>
      </w:r>
    </w:p>
    <w:p>
      <w:r>
        <w:rPr>
          <w:b/>
        </w:rPr>
        <w:t>E. 4</w:t>
      </w:r>
    </w:p>
    <w:p>
      <w:r>
        <w:t>a) La recourant conteste ensuite que le rapport puisse être qualifié de "parfaitement exploitable et compréhensible". Ce faisant, le premier juge aurait ignoré le manque de systématique et l'imprécision de l'expertise, le rapport étant dépourvu de toute référence à une pièce. En outre, l'expert n'aurait pas contacté l'architecte qui a terminé les travaux et refusé de procéder à la vérification des métrés. b) A nouveau, la recourante ne fait qu'opposer sa propre version à l'appréciation du premier juge. L'examen du rapport d'expertise litigieux montre que, contrairement à ce qu'affirme la recourante, le travail de l'expert a été systématique et découle d'un examen détaillé. Le rapport développe ainsi sur 28 pages les points litigieux et comporte des conclusions claires. D'ailleurs, l'expertise privée ne met en évidence qu'une divergence entre les experts au sujet de la "démarche appréciative des litiges", ce qui ne permet pas d'infirmer le constat du premier juge selon lequel le rapport d'expertise est parfaitement exploitable et compréhensible. Quant au fait que l'expert n'aurait pas procédé à toutes les mesures d'instruction requises, il ne permet de tirer aucune conclusion s'agissant du caractère complet du rapport, dès lors qu'il lui était loisible de ne retenir que les mesures pertinentes pour la mission d'expertise. Ce deuxième grief doit en conséquence être rejeté.</w:t>
      </w:r>
    </w:p>
    <w:p>
      <w:r>
        <w:rPr>
          <w:b/>
        </w:rPr>
        <w:t>E. 5</w:t>
      </w:r>
    </w:p>
    <w:p>
      <w:r>
        <w:t>a) La recourante reproche encore au premier juge de n'avoir pas examiné ses observations remettant en cause la partialité (recte : l'impartialité) de l'expert. b) Contrairement à ce que prétend la recourante, le premier juge s'est bien prononcé sur l'impartialité contestée de l'expert puisqu'il a relevé, dans la décision entreprise, qu'on ne discernait pas de parti pris en faveur de l'une ou l'autre des parties dans le rapport d'expertise. Quoi qu'il en soit, dans ses déterminations du 3 mars 2014, la recourante a requis la récusation de l'expert et la mise en œuvre d'une nouvelle expertise. Le présent recours ne porte que sur la rémunération de l'expert, de sorte qu'il appartiendra le cas échéant au premier juge d'examiner la requête de récusation dans le cadre d'un complément ou d'une nouvelle expertise. Ce grief est donc sans objet dans le cadre de la procédure de recours.</w:t>
      </w:r>
    </w:p>
    <w:p>
      <w:r>
        <w:rPr>
          <w:b/>
        </w:rPr>
        <w:t>E. 6</w:t>
      </w:r>
    </w:p>
    <w:p>
      <w:r>
        <w:t>a) La recourante fait également grief au premier juge de ne pas avoir "consulté les 18 classeurs contenant l'historique du chantier litigieux et les pièces justificatives concernant les postes litigieux", de sorte qu'il aurait été incapable d'apprécier le travail de l'expert. b) Outre que l'affirmation de la recourante n'est pas établie, ce grief est inconsistant dès lors que la recourante ne démontre pas en quoi cette consultation était nécessaire pour apprécier le travail de l'expert.</w:t>
      </w:r>
    </w:p>
    <w:p>
      <w:r>
        <w:rPr>
          <w:b/>
        </w:rPr>
        <w:t>E. 7</w:t>
      </w:r>
    </w:p>
    <w:p>
      <w:r>
        <w:t>a) La recourante invoque ensuite une violation de son droit d'être entendue, selon des griefs peu compréhensibles, mais apparemment parce que le premier juge aurait rendu la décision querellée sans tenir compte de ses déterminations du 3 mars 2014. b) Selon l’art. 53 al. 1 CPC, les parties ont le droit d’être entendues. Cette disposition reprend la garantie constitutionnelle de l’art. 29 al. 2 Cst. (Constitution fédérale du 18 avril 1999, RS 101), qui garantit à toute personne qui est partie à une procédure le droit d’être informée et entendue avant qu’une décision ne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Zurich/Bâle/Genève 2003, n. 5 et 6 ad art. 29 Cst., pp. 267-268; Haldy, CPC commenté, op. cit., nn. 3 ss ad art. 53 CPC). c) En l'espèce, on ne voit pas qu'il y ait eu une violation du droit d'être entendu de la recourante. Elle a en effet pu faire valoir ses observations sur la note d'honoraires de l'expert dans ses déterminations du 17 février 2014. Le premier juge n'avait donc pas à attendre d'hypothétiques secondes déterminations de la recourante pour rendre le prononcé entrepris. En outre, comme on l'a vu ci-dessus, les griefs dont la recourante se plaint dans ses déterminations du 3 mars 2014 feront l'objet d'une nouvelle décision, notamment s'agissant de la récusation de l'expert ainsi que de la requête de seconde expertise. Pour le reste, le procédé de la recourante, qui interpelle le premier juge pour se prévaloir ensuite du fait qu'il n'aurait pas nié avoir ignoré ses déterminations, ne manque pas de surprendre. De toute façon, le grief tiré d'une violation de son droit d'être entendu est mal fondé et doit être rejeté.</w:t>
      </w:r>
    </w:p>
    <w:p>
      <w:r>
        <w:rPr>
          <w:b/>
        </w:rPr>
        <w:t>E. 8</w:t>
      </w:r>
    </w:p>
    <w:p>
      <w:r>
        <w:t>a) La recourante conteste enfin la rémunération de l'expert, en invoquant les constats de l'expertise privée et en soutenant qu'en raison des défauts qualitatifs de l'expertise, seul un quart de la rémunération demandée doit en définitive être allouée. b) Selon l’art. 184 al. 3 CPC, l’expert a droit à une rémunération. Celle-ci peut être fixée selon des critères de droit cantonal (Dolge, Basler Kommentar ZPO, op. cit., n. 9 ad art. 284 CPC; Schmid, ZPO Kurzkommentar, Bâle 2010, n. 5 ad art. 184 CPC). A défaut, le montant de la rémunération de l’expert est fixé conventionnellement entre le juge et l’expert, de manière forfaitaire ou en fonction d’un salaire horaire et, en l’absence de convention, selon l’usage (art. 394 al. 3 CO [Code des obligations du 30 mars 1911, RS 220]; Dolge, op. cit., n. 10 ad art. 184 CPC; Schmid, op. cit., n. 4 ad art. 184 CPC, p. 709). Le travail de l’expert superflu ou sans lien avec sa mission ne doit pas être rémunéré (Dolge, op. cit., n. 10 ad art. 184 CPC). Le droit vaudois prévoit à l’art. 91 al. 1 TFJC (tarif des frais judiciaires civils du 28 septembre 2010, RSV 270.11.5) que le juge arrête le montant des honoraires et frais d’experts, en appliquant, le cas échéant, les tarifs officiels. Un tel tarif n’existe pas en droit vaudois. Selon la jurisprudence cantonale, rendue sous l’empire du CPC-VD,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(CREC 26 janvier 2012/11 précité c. 4d et références).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(ibidem). Le CPC laissant un espace à des critères de droit cantonal pour la fixation de la rémunération de l’expert, ceux développés sous l’empire du CPC-VD peuvent être repris. c) En l'espèce, la recourante ne conteste pas la durée des opérations de l'expert ni le tarif horaire pratiqué, mais uniquement la qualité du travail. Manifestement, elle ne soutient pas que l'entier du rapport serait inutilisable, car elle admet une rémunération partielle de l'expert. La recourante n'indique toutefois pas quelles parties du rapport seraient inutilisables, mais se contente d'adresser des critiques générales sur le caractère prétendument lacunaire de l'expertise. Pour les motifs qui ont déjà été exposés ci-dessus, l'appréciation du premier juge sur le travail accompli par l'expert doit être confirmée. Les critiques de la recourante portent en réalité sur les appréciations de l'expert, qu'elle conteste, mais elle devra faire valoir ces moyens dans le cadre d'une requête de seconde expertise d'ores et déjà déposée.</w:t>
      </w:r>
    </w:p>
    <w:p>
      <w:r>
        <w:rPr>
          <w:b/>
        </w:rPr>
        <w:t>E. 9</w:t>
      </w:r>
    </w:p>
    <w:p>
      <w:r>
        <w:t>En définitive, le recours doit être rejeté dans la procédure de l'art. 322 al. 1 CPC et le prononcé entrepris confirmé. Les frais judiciaires de deuxième instance, arrêtés à 600 fr. (art. 69 al. 3 TFJC), sont mis à la charge de la recourante, qui succombe (art. 106 al. 1 CPC). Par ces motifs, la Chambre des recours civile du Tribunal cantonal, statuant à huis clos, en application de l'art. 322 al. 1 CPC, prononce : I. Le recours est rejeté. II.              Le prononcé est confirmé. III. Les frais judiciaires de deuxième instance, arrêtés à 600 fr. (six cents francs), sont mis à la charge de la recourante M.________SA. IV. L’arrêt motivé est exécutoire. Le président :               La greffière : Du</w:t>
      </w:r>
    </w:p>
    <w:p>
      <w:r>
        <w:rPr>
          <w:b/>
        </w:rPr>
        <w:t>E. 14</w:t>
      </w:r>
    </w:p>
    <w:p>
      <w:r>
        <w:t>mai 2014 Le dispositif de l'arrêt qui précède est communiqué par écrit aux intéressés. La greffière : Du L'arrêt qui précède, dont la rédaction a été approuvée à huis clos, est notifié en expédition complète, par l'envoi de photocopies, à : ‑ Me Christophe Piguet (pour M.________SA ‑ Me Philippe Vogel (pour P.________, R.________ et Q.________SA).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