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384 vom 8. Mai 2014</w:t>
      </w:r>
    </w:p>
    <w:p>
      <w:r>
        <w:t>VD Tribunal cantonal, 2014-05-08, FR</w:t>
      </w:r>
    </w:p>
    <w:p>
      <w:r>
        <w:rPr>
          <w:b/>
        </w:rPr>
        <w:t xml:space="preserve">Quelle: </w:t>
      </w:r>
      <w:r>
        <w:t>https://mcp.opencaselaw.ch/entscheid/vd_findinfo_HC___2014___384</w:t>
      </w:r>
    </w:p>
    <w:p>
      <w:r>
        <w:t>FR: VD_FINDINFO HC / 2014 / 384 du 8 mai 2014</w:t>
      </w:r>
    </w:p>
    <w:p>
      <w:r>
        <w:t>IT: VD_FINDINFO HC / 2014 / 384 del 8 maggio 2014</w:t>
      </w:r>
    </w:p>
    <w:p>
      <w:pPr>
        <w:pStyle w:val="Heading2"/>
      </w:pPr>
      <w:r>
        <w:t>Regeste</w:t>
      </w:r>
    </w:p>
    <w:p>
      <w:r>
        <w:t>PROTECTION DE L'UNION CONJUGALE, OBLIGATION D'ENTRETIEN, REVENU HYPOTHÉTIQUE, CHARGE FISCALE | 176 al. 1 CC, 308 al. 1 let. b CPC (CH), 312 al. 1 CPC (CH)</w:t>
      </w:r>
    </w:p>
    <w:p>
      <w:pPr>
        <w:pStyle w:val="Heading2"/>
      </w:pPr>
      <w:r>
        <w:t>Erwägungen</w:t>
      </w:r>
    </w:p>
    <w:p>
      <w:r>
        <w:rPr>
          <w:b/>
        </w:rPr>
        <w:t>E. 1</w:t>
      </w:r>
    </w:p>
    <w:p>
      <w:r>
        <w:t>La voie de l'appel est ouverte contre les ordonnances de mesures protectrices de l'union conjugale, qui doivent être considérées comme des ordonnances de mesures provisionnelles (art. 308 al. 1 let. b CPC) dans les causes non patrimoniales ou dont la valeur litigieuse dépasse 10'000 fr. (art. 308 al. 2 CPC). Les ordonnances de  mesures protectrices de l'union conjugale étant régies par la procédure sommaire, selon les art. 248 let. d et 271 CPC par renvoi de l'art. 276 CPC pour les procédures matrimoniales, le délai d'appel est de dix jours (art. 314 al. 1 CPC [TF 5A_704/2011 du 23 février 2012]). Interjeté en temps utile par une personne qui y a intérêt (art. 59 al. 2 let. a CPC) et portant sur des conclusions qui, capitalisées selon l'art. 92 al. 2 CPC sont supérieures à 10'000 francs, l'appel est recevable (art. 311 CPC).</w:t>
      </w:r>
    </w:p>
    <w:p>
      <w:r>
        <w:rPr>
          <w:b/>
        </w:rPr>
        <w:t>E. 2.1</w:t>
      </w:r>
    </w:p>
    <w:p>
      <w:r>
        <w:t>L'appel en matière de protection de l'union conjugale relève de la compétence du juge unique (art. 84 al. 2 LOJV [loi du 12 décembre 1979 d'organisation judiciaire; RSV 173.01]).</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2.3</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2.4</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l’appel porte sur la contribution prévue pour l’entretien de l’épouse et des enfants mineurs des parties, si bien que la maxime d’office et la maxime inquisitoire illimitée sont applicables (art. 296 al. 1 et 3 CPC ; Hohl, op. cit., nn. 2099 et 2161, pp. 383 et 395). La pièce produite par l’appelant est donc susceptible d’être examinée par le juge de l’appel, encore qu’elle figurait déjà au dossier de première instance.</w:t>
      </w:r>
    </w:p>
    <w:p>
      <w:r>
        <w:rPr>
          <w:b/>
        </w:rPr>
        <w:t>E. 2.5</w:t>
      </w:r>
    </w:p>
    <w:p>
      <w:r>
        <w:t>Enfin, n'étant pas nouvelles, les conclusions sont recevables.</w:t>
      </w:r>
    </w:p>
    <w:p>
      <w:r>
        <w:rPr>
          <w:b/>
        </w:rPr>
        <w:t>E. 3.1</w:t>
      </w:r>
    </w:p>
    <w:p>
      <w:r>
        <w:t>L’appelant fait valoir que c’est à tort que le premier juge a retenu que la prise en charge des enfants prévue par la convention ne justifiait pas une réduction de son taux d’activité à 60% et a admis un revenu hypothétique.</w:t>
      </w:r>
    </w:p>
    <w:p>
      <w:r>
        <w:rPr>
          <w:b/>
        </w:rPr>
        <w:t>E. 3.2</w:t>
      </w:r>
    </w:p>
    <w:p>
      <w:r>
        <w:t>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 6.2, non publié aux ATF 137 III 614 ; TF 5A_612/2011 du 27 février 2012 c. 2.1 ; TF 5A_679/2011 du 10 avril 2012 c. 5.1, in FamPra.ch 2012 p. 789). Il est ainsi  admissible de considérer que l’époux doit maintenir un taux d’activité à plein temps, comme le prévoyait la convention pendant la vie commune, pour subvenir aux frais supplémentaires qu’engendre la vie séparée, lors même que son épouse travaille à mi-temps et de lui imputer un revenu hypothétique s’il réduit ce taux d’activité        (TF 5A_679/2011 du 10 avril 2012 c. 5.3, in FamPra.ch 2012 p. 789).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 c. 4.2).</w:t>
      </w:r>
    </w:p>
    <w:p>
      <w:r>
        <w:rPr>
          <w:b/>
        </w:rPr>
        <w:t>E. 3.3</w:t>
      </w:r>
    </w:p>
    <w:p>
      <w:r>
        <w:t>En l’espèce, les parties ont convenu que la garde serait confiée à l’épouse et que l’appelant bénéficierait d’un libre et large droit de visite, à exercer d’entente avec l’intimée. A défaut d’entente, il aurait les enfants auprès de lui, transports à sa charge, tous les dimanches soirs dès 18 heures, tous les lundis et mardis, un week-end sur deux dès le vendredi à 18 heures, la moitié des vacances scolaires et alternativement à Pâques ou Pentecôte, Noël ou Nouvel An. Dès le 1 er juillet 2014, il prendrait en charge ses enfants un mercredi matin sur deux jusqu’à 13 h 30. Certes, le régime mis en place s’apparente à une garde alternée. Il est cependant ressorti des explications de l’appelant en première instance – qui ne sont pas remises en cause en appel – qu’en semaine, celui-ci confiait ses enfants à ses parents et que la garderie prenait en charge le cadet le mardi. [...] continuera à fréquenter celle-ci le mardi, jour où l’aîné se trouvera quant à lui à l’école. Il en résulte que cette réglementation du droit de visite impliquera une prise en charge personnelle des enfants par leur père le lundi, plus un mercredi matin sur deux dès le 1 er juillet 2014. Cela étant, c’est à juste titre que le premier juge a considéré que cette prise en charge pouvait justifier une réduction du taux d’activité de l’appelant à 75%, mais non à 60%. C’est d’autant plus le cas que la situation financière des parties est serrée et que la contribution arrêtée par le premier juge ne dépasse que de 92 fr. le déficit de l’intimée. Le moyen est donc infondé.</w:t>
      </w:r>
    </w:p>
    <w:p>
      <w:r>
        <w:rPr>
          <w:b/>
        </w:rPr>
        <w:t>E. 4</w:t>
      </w:r>
    </w:p>
    <w:p>
      <w:r>
        <w:t>L’appelant reproche au premier juge de ne pas avoir tenu compte, dans le calcul de son minimum vital, des impôts. Si, comme en l'espèce, les moyens des parties sont limités par rapport aux besoins vitaux, il n'y a pas lieu de prendre en considération les impôts courants, qui n’en font pas partie, et c’est de manière conforme à la jurisprudence que le premier juge n’en a pas tenu compte (ATF 127 III 289 c. 2a/bb, 126 III 353 c. 1a/aa ; TF 5A_302/2011 du 30 septembre 2011 c. 6.3.1 ; TF 5A-511/2010 du 4 février 2011 c. 2.2.3). Partant, l'appel est mal fondé sur ce point également.</w:t>
      </w:r>
    </w:p>
    <w:p>
      <w:r>
        <w:rPr>
          <w:b/>
        </w:rPr>
        <w:t>E. 5</w:t>
      </w:r>
    </w:p>
    <w:p>
      <w:r>
        <w:t>L’appelant fait valoir que le montant mis à sa charge risque de faire échouer tout accord quant à la garde alternée. Ce moyen est sans pertinence sur la fixation de la contribution en mesures protectrices, la fixation des contributions à long terme après divorce pouvant obéir à d’autres principes.</w:t>
      </w:r>
    </w:p>
    <w:p>
      <w:r>
        <w:rPr>
          <w:b/>
        </w:rPr>
        <w:t>E. 6</w:t>
      </w:r>
    </w:p>
    <w:p>
      <w:r>
        <w:t>En conclusion, l’appel est rejeté dans la procédure de l’art. 312 al. 1 CPC et l’ordonnance querellée doit être confirmée. En matière de mesures protectrices de l'union conjugale, seule la première instance bénéficie de la gratuité. Les frais judiciaires de la procédure d'appel peuvent être mis à la charge d'une partie.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les frais judiciaires, arrêtés à 600 francs (art. 65 al. 3 TFJC [tarif des frais judiciaires civils du 28 septembre 2010; RSV 270.11.5]) sont mis à la charge de l’appelant qui succombe Il n'y a pas lieu d'allouer de dépens à la partie intimée, qui n'a pas été invitée à déposer une réponse.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F.________. IV. L’arrêt motivé est exécutoire. Le juge délégué : Le greffier : Du</w:t>
      </w:r>
    </w:p>
    <w:p>
      <w:r>
        <w:rPr>
          <w:b/>
        </w:rPr>
        <w:t>E. 8</w:t>
      </w:r>
    </w:p>
    <w:p>
      <w:r>
        <w:t>mai 2014 Le dispositif de l'arrêt qui précède est communiqué par écrit aux intéressés. Le greffier : Du L'arrêt qui précède, dont la rédaction a été approuvée à huis clos, est notifié en expédition complète, par l'envoi de photocopies, à : ‑ Me Paul-Arthur Treyvaud (pour F.________), ‑ Me Alexa Landert (pour 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